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0980F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附件1：</w:t>
      </w:r>
    </w:p>
    <w:p w14:paraId="6B547D82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111111"/>
          <w:spacing w:val="8"/>
          <w:sz w:val="44"/>
          <w:szCs w:val="44"/>
          <w:shd w:val="clear" w:fill="FFFFFF"/>
        </w:rPr>
      </w:pPr>
    </w:p>
    <w:p w14:paraId="7868D125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111111"/>
          <w:spacing w:val="8"/>
          <w:sz w:val="44"/>
          <w:szCs w:val="44"/>
          <w:shd w:val="clear" w:fill="FFFFFF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111111"/>
          <w:spacing w:val="8"/>
          <w:sz w:val="44"/>
          <w:szCs w:val="44"/>
          <w:shd w:val="clear" w:fill="FFFFFF"/>
        </w:rPr>
        <w:t>关于优化营商环境 依法治理牟利性</w:t>
      </w:r>
    </w:p>
    <w:p w14:paraId="143C9777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111111"/>
          <w:spacing w:val="8"/>
          <w:sz w:val="44"/>
          <w:szCs w:val="44"/>
          <w:shd w:val="clear" w:fill="FFFFFF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111111"/>
          <w:spacing w:val="8"/>
          <w:sz w:val="44"/>
          <w:szCs w:val="44"/>
          <w:shd w:val="clear" w:fill="FFFFFF"/>
        </w:rPr>
        <w:t>投诉举报的指导意见</w:t>
      </w:r>
    </w:p>
    <w:p w14:paraId="437B57AF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   </w:t>
      </w:r>
    </w:p>
    <w:p w14:paraId="31D8150C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704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第一条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【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制定目的与依据】为持续优化法治化营商环境，平等保护消费者、经营者合法权益，规范市场监管领域投诉举报处理工作，依法整治“以打假为名、行牟利之实”的恶意投诉举报乱象，规范权利行使、遏制权利滥用，维护公平有序的市场经济秩序和公正高效的市场监管执法秩序，根据《中华人民共和国消费者权益保护法》《中华人民共和国消费者权益保护法实施条例》《中华人民共和国行政处罚法》《中华人民共和国行政复议法》《优化营商环境条例》《陕西省优化营商环境条例》《市场监督管理投诉举报处理办法》《中华人民共和国政府信息公开条例》等法律法规、规章规定，结合本市工作实际，制定本意见。</w:t>
      </w:r>
    </w:p>
    <w:p w14:paraId="45D6EB04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60" w:lineRule="exact"/>
        <w:ind w:firstLine="704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第二条【基本原则】积极引导、督促经营者依法合规经营，从严查处制假售假、危害食品药品安全、侵害消费者合法权益等违法犯罪行为。严格规制以牟取不正当利益为目的的恶意投诉举报行为，依法打击假借“打假”“维权”名义实施的敲诈勒索、诈骗、胁迫交易、寻衅滋事、虚假诉讼等违法犯罪行为。</w:t>
      </w:r>
    </w:p>
    <w:p w14:paraId="21D1A9F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第三条【牟利性投诉举报行为定义】本意见所称牟利性投诉举报行为，是指行为人非因生活消费需要购买、使用商品或者接受服务，违背诚信原则，滥用投诉、举报、申请履职、复议、诉讼、信访、政府信息公开等法定权利，牟取不正当利益，侵害经营者合法权益，扰乱市场经济秩序和行政司法秩序的行为。</w:t>
      </w:r>
    </w:p>
    <w:p w14:paraId="748DA4E9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第四条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【认定标准】认定牟利性投诉举报，可以结合以下行为特征进行综合判定：</w:t>
      </w:r>
    </w:p>
    <w:p w14:paraId="2581E45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5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（一）消费行为异常。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购买商品、接受服务的数量、频次、地域跨度明显超出普通自然人日常合理生活消费范畴；明知商品、服务存在标签、质量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过期等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问题仍刻意反复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购买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；获取赔偿、补偿后，持续向同一或同类经营者选购同类商品、服务重复索赔；存在虚构消费记录、空下单、秒拍秒退、虚假下单等非正常消费行为。</w:t>
      </w:r>
    </w:p>
    <w:p w14:paraId="7531718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5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（二）诉求与损害不匹配。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自身未遭受实际人身、财产损害，仅以不影响商品质量安全、不误导消费者的标签标识、说明书、广告宣传等轻微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违法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瑕疵为由，主张惩罚性赔偿，明示或暗示向经营者索要赔偿金、顾问费、咨询费等不正当利益。</w:t>
      </w:r>
    </w:p>
    <w:p w14:paraId="2C48E05F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5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（三）维权手段恶意违规。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zh-CN"/>
        </w:rPr>
        <w:t>通过夹带、掉包、造假、篡改商品信息、捏造事实等方式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人为制造索赔条件；以投诉举报、信访、媒体曝光、恶意差评、信息公开、复议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诉讼、检举等方式施压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要挟经营者给付不正当利益，滋扰经营者正常生产经营及行政机关依法履职秩序。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</w:t>
      </w:r>
    </w:p>
    <w:p w14:paraId="1196082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5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（四）主体与证据异常。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拒不配合身份核验，冒用他人身份信息、提供虚假消费凭证；多人共用手机号、收货地址、交易订单，同一证据批量投诉多家经营主体，呈现组织化、团伙化、规模化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恶意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维权特征。</w:t>
      </w:r>
    </w:p>
    <w:p w14:paraId="2F5A0F4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5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（五）行为模式反常。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投诉举报、信访、复议、诉讼文书高度模板化、格式化、批量化；存在主动向被举报人泄露举报信息、违背正常维权逻辑的行为；刻意设置程序陷阱，恶意追究行政机关履职责任、谋取程序利益。</w:t>
      </w:r>
    </w:p>
    <w:p w14:paraId="3785AB85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5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（六）诉求频次异常。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短时间内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大量、集中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发起大量投诉举报，诉求提出、撤回频次显著远超普通消费者合理维权范畴；相关诉求已被核查终结、无新事实、新证据、新理由，仍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反复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起投诉举报、申请信息公开、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复议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诉讼。</w:t>
      </w:r>
    </w:p>
    <w:p w14:paraId="1728DF0D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5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（七）量化频次辅助。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同一主体一个自然年度内在本市发起同类投诉举报10次及以上、或连续两个自然年度累计发起20次及以上、或7日内本地集中发起3次及以上（同一事项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重复诉求除外），可作为频次异常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情形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的辅助判断依据。</w:t>
      </w:r>
    </w:p>
    <w:p w14:paraId="2D96F40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法律法规、规章及上级规范性文件对牟利性投诉举报认定另有规定的，从其规定。</w:t>
      </w:r>
    </w:p>
    <w:p w14:paraId="7AB782C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“吹哨人”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知情人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举报经营者涉嫌违反市场监管法律法规规章的行为，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不属于牟利性投诉举报。</w:t>
      </w:r>
    </w:p>
    <w:p w14:paraId="73DB4AF1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第五条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【投诉举报异常名录管理】市市场监管局牵头建立并动态管理全市投诉举报异常名录（以下简称“异常名录”）。市场监管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法院、检察院、公安、司法行政、网信、信访、数据管理等部门按照各自职能，及时归集、推送牟利性投诉举报相关行为信息，由市市场监管局统一汇总、审核、动态更新，实现部门间信息共享、联动监管，作为甄别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牟利性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投诉举报、实施分类处置的重要参考。</w:t>
      </w:r>
    </w:p>
    <w:p w14:paraId="1E11BAF9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采集、共享、使用异常名录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过程中，应严格保护投诉举报人的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个人信息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和隐私。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异常名录设置异议核查、更正、移除机制，保障相对人救济权利。</w:t>
      </w:r>
    </w:p>
    <w:p w14:paraId="119EC976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第六条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投诉举报分类受理处置】市场监管部门应当坚持依法行政和分类办理原则，依法把牢投诉受理关。经研判认定为牟利性投诉的，依据《市场监督管理投诉举报处理办法》第十六条第三项的规定，不予受理；已受理的，依据第二十三条第一款第六项的规定，终止调解。</w:t>
      </w:r>
    </w:p>
    <w:p w14:paraId="70FEB29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举报线索核查与奖惩规范】市场监管部门应当依法对举报线索进行核查处置，准确把握举报立案条件，符合立案条件的，依法立案查处；符合免罚轻罚或者不予立案条件的，依法免罚轻罚或者不予立案。不得因举报人的施压而对不符合立案条件的举报予以立案。</w:t>
      </w:r>
    </w:p>
    <w:p w14:paraId="064DB18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对牟利性投诉举报人相关举报奖励事项依法严格审查，对不符合奖励条件的，不予奖励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杜绝以牟利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举报的不当获利空间。</w:t>
      </w:r>
    </w:p>
    <w:p w14:paraId="01FA6E1B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【违法犯罪线索移送】市场监管部门在处置投诉举报过程中，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发现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zh-CN" w:eastAsia="zh-CN"/>
        </w:rPr>
        <w:t>投诉举报人涉嫌通过夹带、掉包、造假、篡改商品信息、捏造事实等方式骗取经营者的赔偿或者对经营者进行敲诈勒索的，依照《中华人民共和国治安管理处罚法》等有关法律、法规，移送公安机关等部门处理。</w:t>
      </w:r>
    </w:p>
    <w:p w14:paraId="0D21869F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对公司化、团伙化运作的非法维权组织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涉嫌违法犯罪的牟利性投诉举报行为，将有关线索移送公安机关处理。</w:t>
      </w:r>
    </w:p>
    <w:p w14:paraId="7017672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【执法案卷与信息公开规范】全面落实行政执法全过程记录制度，规范核查、调解、询问取证等环节材料收集、整理、立卷、归档工作，确保执法流程可追溯、可核查。</w:t>
      </w:r>
    </w:p>
    <w:p w14:paraId="0D446A6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牟利性投诉举报人反复、批量申请公开行政执法现场笔录、询问笔录、内部研判材料、案件台账等执法案卷内部信息或过程性信息的，依据《中华人民共和国政府信息公开条例》相关规定，依法不予公开；属于法定公开范围的行政执法信息，依法依规予以公开。</w:t>
      </w:r>
    </w:p>
    <w:p w14:paraId="5F48199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对申请人申请政府信息公开的数量、频次明显超出合理维权、监督需要，存在滥用申请权利情形的，行政机关可以依法要求申请人书面说明申请理由、用途，对无正当理由的重复、批量申请依法规范处置。</w:t>
      </w:r>
    </w:p>
    <w:p w14:paraId="541BD19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第十条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行政司法联动审查】复议机关、人民法院在处理牟利性投诉举报人提起的行政复议、行政诉讼案件中，应当严格审查受理条件，重点甄别当事人是否存在滥用法定权利、是否与涉案事项存在真实利害关系、是否具有依法应予保护的合法权益，对明显属于恶意维权、权利滥用的诉求，依法不予支持。</w:t>
      </w:r>
    </w:p>
    <w:p w14:paraId="18FCEF9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人民法院审理食品药品领域民事索赔案件，应当严格立足自然人生活消费需要范畴，依法合理界定赔偿范围，对超出合理消费需求、以牟利为目的的超额索赔诉求，依法不予支持。</w:t>
      </w:r>
    </w:p>
    <w:p w14:paraId="78F76A7D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网络环境治理】网信部门依据市场监管、司法等部门核查认定结果，依法依规处置网络平台上涉牟利投诉举报的虚假信息、敲诈要挟信息、恶意抹黑经营者的违法违规内容，清理违规账号，规范网络维权秩序，净化法治化营商网络环境。</w:t>
      </w:r>
    </w:p>
    <w:p w14:paraId="652F899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【源头监管与合规指引】市场监管部门强化源头治理，聚焦牟利性投诉举报高发多发行业、领域，精准研判风险隐患，科学制定针对性监管措施与经营者合规经营指引。</w:t>
      </w:r>
    </w:p>
    <w:p w14:paraId="01EB5FD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对投诉举报集中的重点行业、重点平台、重点企业，以及抗风险能力较弱的初创企业、小微企业、个体工商户，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坚持包容审慎监管原则，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开展常态化合规指导、普法帮扶，督促经营者落实主体责任、规范经营行为，提升合规经营、风险防范、依法维权能力，从源头减少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恶意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索赔空间。</w:t>
      </w:r>
    </w:p>
    <w:p w14:paraId="159C5D7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严禁行政机关以息诉罢访、化解信访矛盾为由，要求经营者通过金钱赔付、私下和解的方式处理恶意诉求。</w:t>
      </w:r>
    </w:p>
    <w:p w14:paraId="0DD7E82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72" w:firstLineChars="200"/>
        <w:jc w:val="both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第十三条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【经营者权益保护】鼓励、支持经营者依法拒绝无理索赔、高额不当赔付要求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依法收集、固化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牟利性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投诉举报证据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直接向公安机关报案维权。</w:t>
      </w:r>
    </w:p>
    <w:p w14:paraId="431231E9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【执法司法衔接闭环】健全完善行政执法与刑事司法衔接工作机制，各部门在处置投诉举报、信息公开、复议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诉讼、信访维稳、执法监督等工作中，发现牟利性投诉举报行为涉嫌刑事犯罪的线索，应当及时移送公安机关，并抄送检察机关备案，全程跟踪线索核查、案件办理进展，实现线索移送、核查处置、结果反馈闭环管理。</w:t>
      </w:r>
    </w:p>
    <w:p w14:paraId="3B09DCC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【履职容错与考核优化】严格落实行政执法容错纠错制度，办案人员严格依照法定程序、法定标准甄别处置牟利性投诉举报，无主观故意、无重大过失、未谋取私利的，予以容错免责，不予追责问责。</w:t>
      </w:r>
    </w:p>
    <w:p w14:paraId="01DDAEF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优化行政执法考核评价体系，破除简单以投诉满意度、信访办结率、行政败诉率作为单一考核指标的不合理机制，科学界定履职容错边界，充分包容审慎执法偏差，鼓励执法人员依法履职、主动担当、规范治理。</w:t>
      </w:r>
    </w:p>
    <w:p w14:paraId="7B26448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【适用主体界定】本意见所称经营者，包含从事商品生产、销售、流通的生产经营者，以及有偿提供各类服务的服务提供者，涵盖各类市场经营主体。</w:t>
      </w:r>
    </w:p>
    <w:p w14:paraId="12DFF3F5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【术语释义】本意见中所称“以上”“以内”均包含本数。</w:t>
      </w:r>
      <w:bookmarkStart w:id="0" w:name="_GoBack"/>
      <w:bookmarkEnd w:id="0"/>
    </w:p>
    <w:p w14:paraId="6931969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72" w:firstLineChars="200"/>
        <w:jc w:val="both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第十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111111"/>
          <w:spacing w:val="8"/>
          <w:sz w:val="32"/>
          <w:szCs w:val="32"/>
          <w:shd w:val="clear" w:fill="FFFFFF"/>
        </w:rPr>
        <w:t>【施行日期与衔接适用】本意见自印发之日起正式实施。本意见实施前已经受理、尚未办结的投诉举报、复议诉讼、信访事项，按照从旧兼从轻、有利于权益平衡的原则衔接适用。</w:t>
      </w:r>
    </w:p>
    <w:p w14:paraId="01C9E7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C583F5"/>
    <w:multiLevelType w:val="singleLevel"/>
    <w:tmpl w:val="EEC583F5"/>
    <w:lvl w:ilvl="0" w:tentative="0">
      <w:start w:val="8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92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2026-09-04T02:11:23Z</dcterms:created>
  <dc:creator>Administrator</dc:creator>
  <cp:lastModifiedBy>博瑞售后05</cp:lastModifiedBy>
  <dcterms:modified xsi:type="dcterms:W3CDTF">2026-09-04T02:12:05Z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eyJoZGlkIjoiZjRiODg5ZDY3ZDBmMTRiYjBlMzIzY2U4MjM4ZWZmZmYiLCJ1c2VySWQiOiIxMjM1MzM2MDUxIn0=</vt:lpwstr>
  </property>
  <property fmtid="{D5CDD505-2E9C-101B-9397-08002B2CF9AE}" pid="4" name="ICV">
    <vt:lpwstr>CD7DA551DCD84512BEED94406A6CED7F_12</vt:lpwstr>
  </property>
</Properties>
</file>