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ind w:firstLine="0" w:firstLineChars="0"/>
        <w:jc w:val="center"/>
        <w:textAlignment w:val="auto"/>
        <w:rPr>
          <w:rFonts w:hint="eastAsia" w:ascii="仿宋" w:hAnsi="仿宋" w:eastAsia="仿宋" w:cs="仿宋"/>
          <w:kern w:val="2"/>
          <w:sz w:val="44"/>
          <w:szCs w:val="44"/>
          <w:lang w:val="en-US" w:eastAsia="zh-CN" w:bidi="ar-SA"/>
          <w14:ligatures w14:val="standardContextual"/>
        </w:rPr>
      </w:pPr>
      <w:bookmarkStart w:id="0" w:name="_Toc35492557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" w:hAnsi="仿宋" w:eastAsia="仿宋" w:cs="仿宋"/>
          <w:b/>
          <w:bCs/>
          <w:kern w:val="2"/>
          <w:sz w:val="44"/>
          <w:szCs w:val="44"/>
          <w:lang w:val="en-US" w:eastAsia="zh-CN" w:bidi="ar-SA"/>
          <w14:ligatures w14:val="standardContextual"/>
        </w:rPr>
      </w:pPr>
      <w:r>
        <w:rPr>
          <w:rFonts w:hint="eastAsia" w:ascii="仿宋" w:hAnsi="仿宋" w:cs="仿宋"/>
          <w:b/>
          <w:bCs/>
          <w:kern w:val="2"/>
          <w:sz w:val="44"/>
          <w:szCs w:val="44"/>
          <w:lang w:val="en-US" w:eastAsia="zh-CN" w:bidi="ar-SA"/>
          <w14:ligatures w14:val="standardContextual"/>
        </w:rPr>
        <w:t>秦质享-</w:t>
      </w:r>
      <w:r>
        <w:rPr>
          <w:rFonts w:hint="eastAsia" w:ascii="仿宋" w:hAnsi="仿宋" w:eastAsia="仿宋" w:cs="仿宋"/>
          <w:b/>
          <w:bCs/>
          <w:kern w:val="2"/>
          <w:sz w:val="44"/>
          <w:szCs w:val="44"/>
          <w:lang w:val="en-US" w:eastAsia="zh-CN" w:bidi="ar-SA"/>
          <w14:ligatures w14:val="standardContextual"/>
        </w:rPr>
        <w:t>陕西质量基础信息服务平台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52"/>
          <w:szCs w:val="52"/>
          <w:lang w:val="en-US" w:eastAsia="zh-CN"/>
          <w14:ligatures w14:val="none"/>
        </w:rPr>
      </w:pPr>
      <w:r>
        <w:rPr>
          <w:rFonts w:hint="eastAsia" w:ascii="方正小标宋简体" w:hAnsi="方正小标宋简体" w:eastAsia="方正小标宋简体" w:cs="方正小标宋简体"/>
          <w:sz w:val="52"/>
          <w:szCs w:val="52"/>
          <w:lang w:val="en-US" w:eastAsia="zh-CN"/>
          <w14:ligatures w14:val="none"/>
        </w:rPr>
        <w:t>陕西质量奖申报评审系统操作手册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52"/>
          <w:szCs w:val="52"/>
          <w:lang w:val="en-US" w:eastAsia="zh-CN"/>
          <w14:ligatures w14:val="none"/>
        </w:rPr>
      </w:pPr>
      <w:r>
        <w:rPr>
          <w:rFonts w:hint="eastAsia" w:ascii="方正小标宋简体" w:hAnsi="方正小标宋简体" w:eastAsia="方正小标宋简体" w:cs="方正小标宋简体"/>
          <w:sz w:val="52"/>
          <w:szCs w:val="52"/>
          <w:lang w:val="en-US" w:eastAsia="zh-CN"/>
          <w14:ligatures w14:val="none"/>
        </w:rPr>
        <w:t>（申报组织）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浙江金汇数字技术有限公司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/>
        <w:jc w:val="center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202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年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0</w:t>
      </w:r>
      <w:r>
        <w:rPr>
          <w:rFonts w:hint="eastAsia" w:ascii="仿宋" w:hAnsi="仿宋" w:cs="仿宋"/>
          <w:b/>
          <w:bCs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bookmarkStart w:id="10" w:name="_GoBack"/>
      <w:bookmarkEnd w:id="10"/>
    </w:p>
    <w:bookmarkEnd w:id="0"/>
    <w:p>
      <w:pPr>
        <w:keepNext w:val="0"/>
        <w:keepLines w:val="0"/>
        <w:pageBreakBefore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黑体" w:hAnsi="黑体" w:eastAsia="黑体" w:cs="黑体"/>
          <w:kern w:val="0"/>
          <w:sz w:val="32"/>
          <w:szCs w:val="32"/>
          <w14:ligatures w14:val="none"/>
        </w:rPr>
      </w:pPr>
      <w:bookmarkStart w:id="1" w:name="_Toc11190"/>
      <w:bookmarkStart w:id="2" w:name="_Toc2180"/>
      <w:bookmarkStart w:id="3" w:name="_Toc17926"/>
      <w:r>
        <w:rPr>
          <w:rFonts w:hint="eastAsia" w:ascii="黑体" w:hAnsi="黑体" w:eastAsia="黑体" w:cs="黑体"/>
          <w:kern w:val="0"/>
          <w:sz w:val="32"/>
          <w:szCs w:val="32"/>
          <w:lang w:val="en-US" w:eastAsia="zh-CN"/>
          <w14:ligatures w14:val="none"/>
        </w:rPr>
        <w:t>1.注册</w:t>
      </w:r>
      <w:r>
        <w:rPr>
          <w:rFonts w:hint="eastAsia" w:ascii="黑体" w:hAnsi="黑体" w:eastAsia="黑体" w:cs="黑体"/>
          <w:kern w:val="0"/>
          <w:sz w:val="32"/>
          <w:szCs w:val="32"/>
          <w14:ligatures w14:val="none"/>
        </w:rPr>
        <w:t>登录</w:t>
      </w:r>
      <w:bookmarkEnd w:id="1"/>
      <w:bookmarkEnd w:id="2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280" w:firstLineChars="200"/>
        <w:jc w:val="both"/>
        <w:textAlignment w:val="auto"/>
        <w:rPr>
          <w:rFonts w:hint="eastAsia" w:ascii="仿宋" w:hAnsi="仿宋" w:eastAsia="仿宋" w:cs="仿宋"/>
          <w:kern w:val="2"/>
          <w:sz w:val="28"/>
          <w:szCs w:val="24"/>
          <w:lang w:val="en-US" w:eastAsia="zh-CN" w:bidi="ar-SA"/>
          <w14:ligatures w14:val="standardContextual"/>
        </w:rPr>
      </w:pPr>
      <w:r>
        <w:rPr>
          <w:rFonts w:hint="eastAsia" w:ascii="仿宋" w:hAnsi="仿宋" w:eastAsia="仿宋" w:cs="仿宋"/>
          <w:kern w:val="2"/>
          <w:sz w:val="28"/>
          <w:szCs w:val="24"/>
          <w:lang w:val="en-US" w:eastAsia="zh-CN" w:bidi="ar-SA"/>
          <w14:ligatures w14:val="standardContextual"/>
        </w:rPr>
        <w:t>打开浏览器，在地址栏输入https://qzx.sqis.com/进入秦质享-陕西质量基础信息服务平台</w:t>
      </w:r>
      <w:r>
        <w:rPr>
          <w:rFonts w:hint="eastAsia" w:ascii="仿宋" w:hAnsi="仿宋" w:cs="仿宋"/>
          <w:kern w:val="2"/>
          <w:sz w:val="28"/>
          <w:szCs w:val="24"/>
          <w:lang w:val="en-US" w:eastAsia="zh-CN" w:bidi="ar-SA"/>
          <w14:ligatures w14:val="standardContextual"/>
        </w:rPr>
        <w:t>（图1-1）</w:t>
      </w:r>
      <w:r>
        <w:rPr>
          <w:rFonts w:hint="eastAsia" w:ascii="仿宋" w:hAnsi="仿宋" w:eastAsia="仿宋" w:cs="仿宋"/>
          <w:kern w:val="2"/>
          <w:sz w:val="28"/>
          <w:szCs w:val="24"/>
          <w:lang w:val="en-US" w:eastAsia="zh-CN" w:bidi="ar-SA"/>
          <w14:ligatures w14:val="standardContextual"/>
        </w:rPr>
        <w:t>，点击</w:t>
      </w:r>
      <w:r>
        <w:rPr>
          <w:rFonts w:hint="eastAsia" w:ascii="仿宋" w:hAnsi="仿宋" w:cs="仿宋"/>
          <w:kern w:val="2"/>
          <w:sz w:val="28"/>
          <w:szCs w:val="24"/>
          <w:lang w:val="en-US" w:eastAsia="zh-CN" w:bidi="ar-SA"/>
          <w14:ligatures w14:val="standardContextual"/>
        </w:rPr>
        <w:t>页面</w:t>
      </w:r>
      <w:r>
        <w:rPr>
          <w:rFonts w:hint="eastAsia" w:ascii="仿宋" w:hAnsi="仿宋" w:eastAsia="仿宋" w:cs="仿宋"/>
          <w:kern w:val="2"/>
          <w:sz w:val="28"/>
          <w:szCs w:val="24"/>
          <w:lang w:val="en-US" w:eastAsia="zh-CN" w:bidi="ar-SA"/>
          <w14:ligatures w14:val="standardContextual"/>
        </w:rPr>
        <w:t>登录按钮，跳转至登录</w:t>
      </w:r>
      <w:r>
        <w:rPr>
          <w:rFonts w:hint="eastAsia" w:ascii="仿宋" w:hAnsi="仿宋" w:cs="仿宋"/>
          <w:kern w:val="2"/>
          <w:sz w:val="28"/>
          <w:szCs w:val="24"/>
          <w:lang w:val="en-US" w:eastAsia="zh-CN" w:bidi="ar-SA"/>
          <w14:ligatures w14:val="standardContextual"/>
        </w:rPr>
        <w:t>页面（图1-2）</w:t>
      </w:r>
      <w:r>
        <w:rPr>
          <w:rFonts w:hint="eastAsia" w:ascii="仿宋" w:hAnsi="仿宋" w:eastAsia="仿宋" w:cs="仿宋"/>
          <w:kern w:val="2"/>
          <w:sz w:val="28"/>
          <w:szCs w:val="24"/>
          <w:lang w:val="en-US" w:eastAsia="zh-CN" w:bidi="ar-SA"/>
          <w14:ligatures w14:val="standardContextual"/>
        </w:rPr>
        <w:t>，用户点击企业（个人）角色进行登录。</w:t>
      </w:r>
    </w:p>
    <w:p>
      <w:pPr>
        <w:pStyle w:val="2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083810" cy="3029585"/>
            <wp:effectExtent l="0" t="0" r="2540" b="18415"/>
            <wp:docPr id="10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true"/>
                    </pic:cNvPicPr>
                  </pic:nvPicPr>
                  <pic:blipFill>
                    <a:blip r:embed="rId8"/>
                    <a:srcRect r="1427"/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0" w:firstLineChars="0"/>
        <w:jc w:val="center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t xml:space="preserve">图 </w:t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STYLEREF 1 \s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</w:rPr>
        <w:t>1</w:t>
      </w:r>
      <w:r>
        <w:rPr>
          <w:rFonts w:hint="eastAsia" w:ascii="仿宋" w:hAnsi="仿宋" w:eastAsia="仿宋" w:cs="仿宋"/>
        </w:rPr>
        <w:fldChar w:fldCharType="end"/>
      </w:r>
      <w:r>
        <w:rPr>
          <w:rFonts w:hint="eastAsia" w:ascii="仿宋" w:hAnsi="仿宋" w:eastAsia="仿宋" w:cs="仿宋"/>
          <w:lang w:eastAsia="zh-CN"/>
        </w:rPr>
        <w:t>-</w:t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SEQ 图 \* ARABIC \s 1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</w:rPr>
        <w:t>1</w:t>
      </w:r>
      <w:r>
        <w:rPr>
          <w:rFonts w:hint="eastAsia" w:ascii="仿宋" w:hAnsi="仿宋" w:eastAsia="仿宋" w:cs="仿宋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t>秦质享-陕西质量基础信息服务平台首页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4792345" cy="2508885"/>
            <wp:effectExtent l="0" t="0" r="8255" b="5715"/>
            <wp:docPr id="5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2345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0" w:firstLineChars="0"/>
        <w:jc w:val="center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t xml:space="preserve">图 </w:t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STYLEREF 1 \s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</w:rPr>
        <w:t>1</w:t>
      </w:r>
      <w:r>
        <w:rPr>
          <w:rFonts w:hint="eastAsia" w:ascii="仿宋" w:hAnsi="仿宋" w:eastAsia="仿宋" w:cs="仿宋"/>
        </w:rPr>
        <w:fldChar w:fldCharType="end"/>
      </w:r>
      <w:r>
        <w:rPr>
          <w:rFonts w:hint="eastAsia" w:ascii="仿宋" w:hAnsi="仿宋" w:eastAsia="仿宋" w:cs="仿宋"/>
          <w:lang w:eastAsia="zh-CN"/>
        </w:rPr>
        <w:t>-</w:t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SEQ 图 \* ARABIC \s 1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</w:rPr>
        <w:t>2</w:t>
      </w:r>
      <w:r>
        <w:rPr>
          <w:rFonts w:hint="eastAsia" w:ascii="仿宋" w:hAnsi="仿宋" w:eastAsia="仿宋" w:cs="仿宋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t>不同用户登录入口页面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280" w:firstLineChars="200"/>
        <w:jc w:val="both"/>
        <w:textAlignment w:val="auto"/>
        <w:rPr>
          <w:rFonts w:hint="eastAsia" w:ascii="仿宋" w:hAnsi="仿宋" w:eastAsia="仿宋" w:cs="仿宋"/>
          <w:kern w:val="2"/>
          <w:sz w:val="28"/>
          <w:szCs w:val="24"/>
          <w:lang w:val="en-US" w:eastAsia="zh-CN" w:bidi="ar-SA"/>
          <w14:ligatures w14:val="standardContextual"/>
        </w:rPr>
      </w:pPr>
      <w:r>
        <w:rPr>
          <w:rFonts w:hint="eastAsia" w:ascii="仿宋" w:hAnsi="仿宋" w:eastAsia="仿宋" w:cs="仿宋"/>
          <w:kern w:val="2"/>
          <w:sz w:val="28"/>
          <w:szCs w:val="24"/>
          <w:lang w:val="en-US" w:eastAsia="zh-CN" w:bidi="ar-SA"/>
          <w14:ligatures w14:val="standardContextual"/>
        </w:rPr>
        <w:t>若已有账号则点击进入按钮，跳转至登录页面（图1-3）</w:t>
      </w:r>
      <w:r>
        <w:rPr>
          <w:rFonts w:hint="eastAsia" w:ascii="仿宋" w:hAnsi="仿宋" w:eastAsia="仿宋" w:cs="仿宋"/>
          <w:kern w:val="2"/>
          <w:sz w:val="28"/>
          <w:szCs w:val="24"/>
          <w:lang w:val="en-US" w:eastAsia="zh-CN" w:bidi="ar-SA"/>
          <w14:ligatures w14:val="standardContextual"/>
        </w:rPr>
        <w:t>，输入账号密码进行登录。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right="-56" w:rightChars="-20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4911090" cy="2731770"/>
            <wp:effectExtent l="0" t="0" r="3810" b="11430"/>
            <wp:docPr id="6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1090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0" w:firstLineChars="0"/>
        <w:jc w:val="center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t xml:space="preserve">图 </w:t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STYLEREF 1 \s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</w:rPr>
        <w:t>1</w:t>
      </w:r>
      <w:r>
        <w:rPr>
          <w:rFonts w:hint="eastAsia" w:ascii="仿宋" w:hAnsi="仿宋" w:eastAsia="仿宋" w:cs="仿宋"/>
        </w:rPr>
        <w:fldChar w:fldCharType="end"/>
      </w:r>
      <w:r>
        <w:rPr>
          <w:rFonts w:hint="eastAsia" w:ascii="仿宋" w:hAnsi="仿宋" w:eastAsia="仿宋" w:cs="仿宋"/>
          <w:lang w:eastAsia="zh-CN"/>
        </w:rPr>
        <w:t>-</w:t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SEQ 图 \* ARABIC \s 1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</w:rPr>
        <w:t>3</w:t>
      </w:r>
      <w:r>
        <w:rPr>
          <w:rFonts w:hint="eastAsia" w:ascii="仿宋" w:hAnsi="仿宋" w:eastAsia="仿宋" w:cs="仿宋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t>用户登录页面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280" w:firstLineChars="200"/>
        <w:jc w:val="both"/>
        <w:textAlignment w:val="auto"/>
        <w:rPr>
          <w:rFonts w:hint="eastAsia" w:ascii="仿宋" w:hAnsi="仿宋" w:eastAsia="仿宋" w:cs="仿宋"/>
          <w:kern w:val="2"/>
          <w:sz w:val="28"/>
          <w:szCs w:val="24"/>
          <w:lang w:val="en-US" w:eastAsia="zh-CN" w:bidi="ar-SA"/>
          <w14:ligatures w14:val="standardContextual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280" w:firstLineChars="200"/>
        <w:jc w:val="both"/>
        <w:textAlignment w:val="auto"/>
        <w:rPr>
          <w:rFonts w:hint="eastAsia" w:ascii="仿宋" w:hAnsi="仿宋" w:eastAsia="仿宋" w:cs="仿宋"/>
          <w:kern w:val="2"/>
          <w:sz w:val="28"/>
          <w:szCs w:val="24"/>
          <w:lang w:val="en-US" w:eastAsia="zh-CN" w:bidi="ar-SA"/>
          <w14:ligatures w14:val="standardContextual"/>
        </w:rPr>
      </w:pPr>
      <w:r>
        <w:rPr>
          <w:rFonts w:hint="eastAsia" w:ascii="仿宋" w:hAnsi="仿宋" w:eastAsia="仿宋" w:cs="仿宋"/>
          <w:kern w:val="2"/>
          <w:sz w:val="28"/>
          <w:szCs w:val="24"/>
          <w:lang w:val="en-US" w:eastAsia="zh-CN" w:bidi="ar-SA"/>
          <w14:ligatures w14:val="standardContextual"/>
        </w:rPr>
        <w:t>若没有账号，则点击注册按钮，进入注册页面（图1-4）</w:t>
      </w:r>
      <w:r>
        <w:rPr>
          <w:rFonts w:hint="eastAsia" w:ascii="仿宋" w:hAnsi="仿宋" w:eastAsia="仿宋" w:cs="仿宋"/>
          <w:kern w:val="2"/>
          <w:sz w:val="28"/>
          <w:szCs w:val="24"/>
          <w:lang w:val="en-US" w:eastAsia="zh-CN" w:bidi="ar-SA"/>
          <w14:ligatures w14:val="standardContextual"/>
        </w:rPr>
        <w:t>，先进行注册。注册成功后，再进行登录。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right="-56" w:rightChars="-20"/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4851400" cy="3113405"/>
            <wp:effectExtent l="0" t="0" r="6350" b="10795"/>
            <wp:docPr id="11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0" w:firstLineChars="0"/>
        <w:jc w:val="center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t xml:space="preserve">图 </w:t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STYLEREF 1 \s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</w:rPr>
        <w:t>1</w:t>
      </w:r>
      <w:r>
        <w:rPr>
          <w:rFonts w:hint="eastAsia" w:ascii="仿宋" w:hAnsi="仿宋" w:eastAsia="仿宋" w:cs="仿宋"/>
        </w:rPr>
        <w:fldChar w:fldCharType="end"/>
      </w:r>
      <w:r>
        <w:rPr>
          <w:rFonts w:hint="eastAsia" w:ascii="仿宋" w:hAnsi="仿宋" w:eastAsia="仿宋" w:cs="仿宋"/>
          <w:lang w:eastAsia="zh-CN"/>
        </w:rPr>
        <w:t>-</w:t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SEQ 图 \* ARABIC \s 1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</w:rPr>
        <w:t>4</w:t>
      </w:r>
      <w:r>
        <w:rPr>
          <w:rFonts w:hint="eastAsia" w:ascii="仿宋" w:hAnsi="仿宋" w:eastAsia="仿宋" w:cs="仿宋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t>用户账号注册页面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黑体" w:hAnsi="黑体" w:eastAsia="黑体" w:cs="黑体"/>
          <w:kern w:val="0"/>
          <w:sz w:val="32"/>
          <w:szCs w:val="32"/>
          <w:lang w:val="en-US" w:eastAsia="zh-CN"/>
          <w14:ligatures w14:val="none"/>
        </w:rPr>
      </w:pPr>
      <w:bookmarkStart w:id="4" w:name="_Toc14322"/>
      <w:bookmarkStart w:id="5" w:name="_Toc337"/>
      <w:r>
        <w:rPr>
          <w:rFonts w:hint="eastAsia" w:ascii="黑体" w:hAnsi="黑体" w:eastAsia="黑体" w:cs="黑体"/>
          <w:kern w:val="0"/>
          <w:sz w:val="32"/>
          <w:szCs w:val="32"/>
          <w:lang w:val="en-US" w:eastAsia="zh-CN"/>
          <w14:ligatures w14:val="none"/>
        </w:rPr>
        <w:t>2.质量奖申报</w:t>
      </w:r>
      <w:bookmarkEnd w:id="4"/>
      <w:bookmarkEnd w:id="5"/>
      <w:bookmarkStart w:id="6" w:name="_Toc20224"/>
    </w:p>
    <w:p>
      <w:pPr>
        <w:pStyle w:val="20"/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kern w:val="2"/>
          <w:sz w:val="32"/>
          <w:szCs w:val="40"/>
          <w:lang w:val="en-US" w:eastAsia="zh-CN"/>
          <w14:ligatures w14:val="none"/>
        </w:rPr>
      </w:pPr>
      <w:r>
        <w:rPr>
          <w:rFonts w:hint="eastAsia" w:ascii="楷体_GB2312" w:hAnsi="楷体_GB2312" w:eastAsia="楷体_GB2312" w:cs="楷体_GB2312"/>
          <w:kern w:val="2"/>
          <w:sz w:val="32"/>
          <w:szCs w:val="40"/>
          <w:lang w:val="en-US" w:eastAsia="zh-CN"/>
          <w14:ligatures w14:val="none"/>
        </w:rPr>
        <w:t>2.1.陕西质量奖申报评审系统</w:t>
      </w:r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20" w:firstLineChars="0"/>
        <w:textAlignment w:val="auto"/>
        <w:rPr>
          <w:rFonts w:hint="eastAsia" w:ascii="仿宋" w:hAnsi="仿宋" w:eastAsia="仿宋" w:cs="仿宋"/>
          <w:kern w:val="2"/>
          <w:sz w:val="28"/>
          <w:szCs w:val="24"/>
          <w:lang w:val="en-US" w:eastAsia="zh-CN" w:bidi="ar-SA"/>
          <w14:ligatures w14:val="standardContextual"/>
        </w:rPr>
      </w:pPr>
      <w:r>
        <w:rPr>
          <w:rFonts w:hint="eastAsia" w:ascii="仿宋" w:hAnsi="仿宋" w:eastAsia="仿宋" w:cs="仿宋"/>
          <w:kern w:val="2"/>
          <w:sz w:val="28"/>
          <w:szCs w:val="24"/>
          <w:lang w:val="en-US" w:eastAsia="zh-CN" w:bidi="ar-SA"/>
          <w14:ligatures w14:val="standardContextual"/>
        </w:rPr>
        <w:t>企业（个人）用户登录后，需要点击首页页面【陕西质量奖申报评审系统】（图2-1）进入。</w:t>
      </w:r>
    </w:p>
    <w:p>
      <w:pPr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618480" cy="3521075"/>
            <wp:effectExtent l="0" t="0" r="5080" b="14605"/>
            <wp:docPr id="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8480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0" w:firstLineChars="0"/>
        <w:jc w:val="center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t xml:space="preserve">图 </w:t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STYLEREF 1 \s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</w:rPr>
        <w:t>2</w:t>
      </w:r>
      <w:r>
        <w:rPr>
          <w:rFonts w:hint="eastAsia" w:ascii="仿宋" w:hAnsi="仿宋" w:eastAsia="仿宋" w:cs="仿宋"/>
        </w:rPr>
        <w:fldChar w:fldCharType="end"/>
      </w:r>
      <w:r>
        <w:rPr>
          <w:rFonts w:hint="eastAsia" w:ascii="仿宋" w:hAnsi="仿宋" w:eastAsia="仿宋" w:cs="仿宋"/>
          <w:lang w:eastAsia="zh-CN"/>
        </w:rPr>
        <w:t>-</w:t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SEQ 图 \* ARABIC \s 1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</w:rPr>
        <w:t>1</w:t>
      </w:r>
      <w:r>
        <w:rPr>
          <w:rFonts w:hint="eastAsia" w:ascii="仿宋" w:hAnsi="仿宋" w:eastAsia="仿宋" w:cs="仿宋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t>陕西质量奖申报评审系统入口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280" w:firstLineChars="200"/>
        <w:jc w:val="both"/>
        <w:textAlignment w:val="auto"/>
        <w:rPr>
          <w:rFonts w:hint="eastAsia" w:ascii="仿宋" w:hAnsi="仿宋" w:eastAsia="仿宋" w:cs="仿宋"/>
          <w:kern w:val="2"/>
          <w:sz w:val="28"/>
          <w:szCs w:val="24"/>
          <w:lang w:val="en-US" w:eastAsia="zh-CN" w:bidi="ar-SA"/>
          <w14:ligatures w14:val="standardContextual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280" w:firstLineChars="200"/>
        <w:jc w:val="both"/>
        <w:textAlignment w:val="auto"/>
        <w:rPr>
          <w:rFonts w:hint="eastAsia" w:ascii="仿宋" w:hAnsi="仿宋" w:eastAsia="仿宋" w:cs="仿宋"/>
          <w:kern w:val="2"/>
          <w:sz w:val="28"/>
          <w:szCs w:val="24"/>
          <w:lang w:val="en-US" w:eastAsia="zh-CN" w:bidi="ar-SA"/>
          <w14:ligatures w14:val="standardContextual"/>
        </w:rPr>
      </w:pPr>
      <w:r>
        <w:rPr>
          <w:rFonts w:hint="eastAsia" w:ascii="仿宋" w:hAnsi="仿宋" w:eastAsia="仿宋" w:cs="仿宋"/>
          <w:kern w:val="2"/>
          <w:sz w:val="28"/>
          <w:szCs w:val="24"/>
          <w:lang w:val="en-US" w:eastAsia="zh-CN" w:bidi="ar-SA"/>
          <w14:ligatures w14:val="standardContextual"/>
        </w:rPr>
        <w:t>陕西质量奖申报主体分为四类（图2-2）：制造业（含工程建设）、服务业组织，医疗机构（仅限医院科室和专项医疗团队），教育机构（仅限小学、初中和副厅级以下职业技术学校），一线班组（包括各领域QC小组）。各用户根据各自类型点击进入申报。</w:t>
      </w:r>
    </w:p>
    <w:p>
      <w:pPr>
        <w:jc w:val="center"/>
        <w:rPr>
          <w:rFonts w:hint="eastAsia" w:ascii="仿宋" w:hAnsi="仿宋" w:eastAsia="仿宋" w:cs="仿宋"/>
        </w:rPr>
      </w:pPr>
      <w:r>
        <w:drawing>
          <wp:inline distT="0" distB="0" distL="114300" distR="114300">
            <wp:extent cx="5526405" cy="3398520"/>
            <wp:effectExtent l="0" t="0" r="5715" b="0"/>
            <wp:docPr id="12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true"/>
                    </pic:cNvPicPr>
                  </pic:nvPicPr>
                  <pic:blipFill>
                    <a:blip r:embed="rId13"/>
                    <a:srcRect t="4060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0" w:firstLineChars="0"/>
        <w:jc w:val="center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t xml:space="preserve">图 </w:t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STYLEREF 1 \s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</w:rPr>
        <w:t>2</w:t>
      </w:r>
      <w:r>
        <w:rPr>
          <w:rFonts w:hint="eastAsia" w:ascii="仿宋" w:hAnsi="仿宋" w:eastAsia="仿宋" w:cs="仿宋"/>
        </w:rPr>
        <w:fldChar w:fldCharType="end"/>
      </w:r>
      <w:r>
        <w:rPr>
          <w:rFonts w:hint="eastAsia" w:ascii="仿宋" w:hAnsi="仿宋" w:eastAsia="仿宋" w:cs="仿宋"/>
          <w:lang w:eastAsia="zh-CN"/>
        </w:rPr>
        <w:t>-</w:t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SEQ 图 \* ARABIC \s 1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</w:rPr>
        <w:t>2</w:t>
      </w:r>
      <w:r>
        <w:rPr>
          <w:rFonts w:hint="eastAsia" w:ascii="仿宋" w:hAnsi="仿宋" w:eastAsia="仿宋" w:cs="仿宋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t>陕西质量奖申报评审系统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280" w:firstLineChars="200"/>
        <w:jc w:val="both"/>
        <w:textAlignment w:val="auto"/>
        <w:rPr>
          <w:rFonts w:hint="eastAsia" w:ascii="仿宋" w:hAnsi="仿宋" w:eastAsia="仿宋" w:cs="仿宋"/>
          <w:kern w:val="2"/>
          <w:sz w:val="28"/>
          <w:szCs w:val="24"/>
          <w:lang w:val="en-US" w:eastAsia="zh-CN" w:bidi="ar-SA"/>
          <w14:ligatures w14:val="standardContextual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280" w:firstLineChars="200"/>
        <w:jc w:val="both"/>
        <w:textAlignment w:val="auto"/>
        <w:rPr>
          <w:rFonts w:hint="eastAsia" w:ascii="仿宋" w:hAnsi="仿宋" w:eastAsia="仿宋" w:cs="仿宋"/>
          <w:kern w:val="2"/>
          <w:sz w:val="28"/>
          <w:szCs w:val="24"/>
          <w:lang w:val="en-US" w:eastAsia="zh-CN" w:bidi="ar-SA"/>
          <w14:ligatures w14:val="standardContextual"/>
        </w:rPr>
      </w:pPr>
      <w:r>
        <w:rPr>
          <w:rFonts w:hint="eastAsia" w:ascii="仿宋" w:hAnsi="仿宋" w:eastAsia="仿宋" w:cs="仿宋"/>
          <w:kern w:val="2"/>
          <w:sz w:val="28"/>
          <w:szCs w:val="24"/>
          <w:lang w:val="en-US" w:eastAsia="zh-CN" w:bidi="ar-SA"/>
          <w14:ligatures w14:val="standardContextual"/>
        </w:rPr>
        <w:t>在申报页面（图2-3）中，需要填写申报基本信息、内部公示情况、附件信息，标有红色*为必填项。信息填写完成后，点击提交按钮，提交至推荐单位进行审核。</w:t>
      </w:r>
    </w:p>
    <w:p>
      <w:pPr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020310" cy="3710940"/>
            <wp:effectExtent l="0" t="0" r="8890" b="3810"/>
            <wp:docPr id="8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true"/>
                    </pic:cNvPicPr>
                  </pic:nvPicPr>
                  <pic:blipFill>
                    <a:blip r:embed="rId14"/>
                    <a:srcRect b="3388"/>
                    <a:stretch>
                      <a:fillRect/>
                    </a:stretch>
                  </pic:blipFill>
                  <pic:spPr>
                    <a:xfrm>
                      <a:off x="0" y="0"/>
                      <a:ext cx="502031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0" w:firstLineChars="0"/>
        <w:jc w:val="center"/>
        <w:textAlignment w:val="auto"/>
        <w:rPr>
          <w:rFonts w:hint="eastAsia" w:ascii="仿宋" w:hAnsi="仿宋" w:eastAsia="仿宋" w:cs="仿宋"/>
          <w:lang w:val="en-US"/>
        </w:rPr>
      </w:pPr>
      <w:r>
        <w:rPr>
          <w:rFonts w:hint="eastAsia" w:ascii="仿宋" w:hAnsi="仿宋" w:eastAsia="仿宋" w:cs="仿宋"/>
        </w:rPr>
        <w:t xml:space="preserve">图 </w:t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STYLEREF 1 \s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</w:rPr>
        <w:t>2</w:t>
      </w:r>
      <w:r>
        <w:rPr>
          <w:rFonts w:hint="eastAsia" w:ascii="仿宋" w:hAnsi="仿宋" w:eastAsia="仿宋" w:cs="仿宋"/>
        </w:rPr>
        <w:fldChar w:fldCharType="end"/>
      </w:r>
      <w:r>
        <w:rPr>
          <w:rFonts w:hint="eastAsia" w:ascii="仿宋" w:hAnsi="仿宋" w:eastAsia="仿宋" w:cs="仿宋"/>
          <w:lang w:eastAsia="zh-CN"/>
        </w:rPr>
        <w:t>-</w:t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SEQ 图 \* ARABIC \s 1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</w:rPr>
        <w:t>3</w:t>
      </w:r>
      <w:r>
        <w:rPr>
          <w:rFonts w:hint="eastAsia" w:ascii="仿宋" w:hAnsi="仿宋" w:eastAsia="仿宋" w:cs="仿宋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t>陕西质量奖申报评审系统组织资料填报页面</w:t>
      </w:r>
    </w:p>
    <w:p>
      <w:pPr>
        <w:pStyle w:val="20"/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kern w:val="2"/>
          <w:sz w:val="32"/>
          <w:szCs w:val="40"/>
          <w:lang w:val="en-US" w:eastAsia="zh-CN"/>
          <w14:ligatures w14:val="none"/>
        </w:rPr>
      </w:pPr>
      <w:bookmarkStart w:id="7" w:name="_Toc28920"/>
      <w:bookmarkStart w:id="8" w:name="_Toc5594"/>
    </w:p>
    <w:p>
      <w:pPr>
        <w:pStyle w:val="20"/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0" w:firstLineChars="200"/>
        <w:jc w:val="both"/>
        <w:textAlignment w:val="auto"/>
        <w:rPr>
          <w:rFonts w:hint="eastAsia" w:ascii="楷体_GB2312" w:hAnsi="楷体_GB2312" w:eastAsia="楷体_GB2312" w:cs="楷体_GB2312"/>
          <w:kern w:val="2"/>
          <w:sz w:val="32"/>
          <w:szCs w:val="40"/>
          <w:lang w:val="en-US" w:eastAsia="zh-CN"/>
          <w14:ligatures w14:val="none"/>
        </w:rPr>
      </w:pPr>
      <w:r>
        <w:rPr>
          <w:rFonts w:hint="eastAsia" w:ascii="楷体_GB2312" w:hAnsi="楷体_GB2312" w:eastAsia="楷体_GB2312" w:cs="楷体_GB2312"/>
          <w:kern w:val="2"/>
          <w:sz w:val="32"/>
          <w:szCs w:val="40"/>
          <w:lang w:val="en-US" w:eastAsia="zh-CN"/>
          <w14:ligatures w14:val="none"/>
        </w:rPr>
        <w:t>2.2.我的质量奖</w:t>
      </w:r>
      <w:bookmarkEnd w:id="7"/>
      <w:bookmarkEnd w:id="8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280" w:firstLineChars="200"/>
        <w:jc w:val="both"/>
        <w:textAlignment w:val="auto"/>
        <w:rPr>
          <w:rFonts w:hint="eastAsia" w:ascii="仿宋" w:hAnsi="仿宋" w:eastAsia="仿宋" w:cs="仿宋"/>
          <w:kern w:val="2"/>
          <w:sz w:val="28"/>
          <w:szCs w:val="24"/>
          <w:lang w:val="en-US" w:eastAsia="zh-CN" w:bidi="ar-SA"/>
          <w14:ligatures w14:val="standardContextual"/>
        </w:rPr>
      </w:pPr>
      <w:r>
        <w:rPr>
          <w:rFonts w:hint="eastAsia" w:ascii="仿宋" w:hAnsi="仿宋" w:eastAsia="仿宋" w:cs="仿宋"/>
          <w:kern w:val="2"/>
          <w:sz w:val="28"/>
          <w:szCs w:val="24"/>
          <w:lang w:val="en-US" w:eastAsia="zh-CN" w:bidi="ar-SA"/>
          <w14:ligatures w14:val="standardContextual"/>
        </w:rPr>
        <w:t>企业（个人）用户登录后，点击首页页面【个人中心】，进入个人中心后点击【业务办理-&gt;我的质量奖】（图2-4），列表显示质量奖申报记录信息。</w:t>
      </w:r>
    </w:p>
    <w:p>
      <w:pPr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inline distT="0" distB="0" distL="114300" distR="114300">
            <wp:extent cx="5054600" cy="2003425"/>
            <wp:effectExtent l="0" t="0" r="12700" b="15875"/>
            <wp:docPr id="9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0" w:firstLineChars="0"/>
        <w:jc w:val="center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</w:rPr>
        <w:t xml:space="preserve">图 </w:t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STYLEREF 1 \s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</w:rPr>
        <w:t>2</w:t>
      </w:r>
      <w:r>
        <w:rPr>
          <w:rFonts w:hint="eastAsia" w:ascii="仿宋" w:hAnsi="仿宋" w:eastAsia="仿宋" w:cs="仿宋"/>
        </w:rPr>
        <w:fldChar w:fldCharType="end"/>
      </w:r>
      <w:r>
        <w:rPr>
          <w:rFonts w:hint="eastAsia" w:ascii="仿宋" w:hAnsi="仿宋" w:eastAsia="仿宋" w:cs="仿宋"/>
          <w:lang w:eastAsia="zh-CN"/>
        </w:rPr>
        <w:t>-</w:t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SEQ 图 \* ARABIC \s 1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Fonts w:hint="eastAsia" w:ascii="仿宋" w:hAnsi="仿宋" w:eastAsia="仿宋" w:cs="仿宋"/>
        </w:rPr>
        <w:t>4</w:t>
      </w:r>
      <w:r>
        <w:rPr>
          <w:rFonts w:hint="eastAsia" w:ascii="仿宋" w:hAnsi="仿宋" w:eastAsia="仿宋" w:cs="仿宋"/>
        </w:rPr>
        <w:fldChar w:fldCharType="end"/>
      </w:r>
      <w:r>
        <w:rPr>
          <w:rFonts w:hint="eastAsia" w:ascii="仿宋" w:hAnsi="仿宋" w:eastAsia="仿宋" w:cs="仿宋"/>
          <w:lang w:val="en-US" w:eastAsia="zh-CN"/>
        </w:rPr>
        <w:t>我的质量奖列表页面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280" w:firstLineChars="200"/>
        <w:jc w:val="both"/>
        <w:textAlignment w:val="auto"/>
        <w:rPr>
          <w:rFonts w:hint="eastAsia" w:ascii="仿宋" w:hAnsi="仿宋" w:eastAsia="仿宋" w:cs="仿宋"/>
          <w:kern w:val="2"/>
          <w:sz w:val="28"/>
          <w:szCs w:val="24"/>
          <w:lang w:val="en-US" w:eastAsia="zh-CN" w:bidi="ar-SA"/>
          <w14:ligatures w14:val="standardContextual"/>
        </w:rPr>
      </w:pPr>
      <w:r>
        <w:rPr>
          <w:rFonts w:hint="eastAsia" w:ascii="仿宋" w:hAnsi="仿宋" w:eastAsia="仿宋" w:cs="仿宋"/>
          <w:kern w:val="2"/>
          <w:sz w:val="28"/>
          <w:szCs w:val="24"/>
          <w:lang w:val="en-US" w:eastAsia="zh-CN" w:bidi="ar-SA"/>
          <w14:ligatures w14:val="standardContextual"/>
        </w:rPr>
        <w:t>提供用户进行以下操作：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280" w:firstLineChars="200"/>
        <w:jc w:val="both"/>
        <w:textAlignment w:val="auto"/>
        <w:rPr>
          <w:rFonts w:hint="eastAsia" w:ascii="仿宋" w:hAnsi="仿宋" w:eastAsia="仿宋" w:cs="仿宋"/>
          <w:kern w:val="2"/>
          <w:sz w:val="28"/>
          <w:szCs w:val="24"/>
          <w:lang w:val="en-US" w:eastAsia="zh-CN" w:bidi="ar-SA"/>
          <w14:ligatures w14:val="standardContextual"/>
        </w:rPr>
      </w:pPr>
      <w:r>
        <w:rPr>
          <w:rFonts w:hint="eastAsia" w:ascii="仿宋" w:hAnsi="仿宋" w:eastAsia="仿宋" w:cs="仿宋"/>
          <w:kern w:val="2"/>
          <w:sz w:val="28"/>
          <w:szCs w:val="24"/>
          <w:lang w:val="en-US" w:eastAsia="zh-CN" w:bidi="ar-SA"/>
          <w14:ligatures w14:val="standardContextual"/>
        </w:rPr>
        <w:t>1、对保存信息，可以进行编辑、查看、取消操作。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280" w:firstLineChars="200"/>
        <w:jc w:val="both"/>
        <w:textAlignment w:val="auto"/>
        <w:rPr>
          <w:rFonts w:hint="eastAsia" w:ascii="仿宋" w:hAnsi="仿宋" w:eastAsia="仿宋" w:cs="仿宋"/>
          <w:kern w:val="2"/>
          <w:sz w:val="28"/>
          <w:szCs w:val="24"/>
          <w:lang w:val="en-US" w:eastAsia="zh-CN" w:bidi="ar-SA"/>
          <w14:ligatures w14:val="standardContextual"/>
        </w:rPr>
      </w:pPr>
      <w:r>
        <w:rPr>
          <w:rFonts w:hint="eastAsia" w:ascii="仿宋" w:hAnsi="仿宋" w:eastAsia="仿宋" w:cs="仿宋"/>
          <w:kern w:val="2"/>
          <w:sz w:val="28"/>
          <w:szCs w:val="24"/>
          <w:lang w:val="en-US" w:eastAsia="zh-CN" w:bidi="ar-SA"/>
          <w14:ligatures w14:val="standardContextual"/>
        </w:rPr>
        <w:t>2、对提交后未审核信息，可进行撤回修改、查看操作。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280" w:firstLineChars="200"/>
        <w:jc w:val="both"/>
        <w:textAlignment w:val="auto"/>
        <w:rPr>
          <w:rFonts w:hint="eastAsia" w:ascii="仿宋" w:hAnsi="仿宋" w:eastAsia="仿宋" w:cs="仿宋"/>
          <w:kern w:val="2"/>
          <w:sz w:val="28"/>
          <w:szCs w:val="24"/>
          <w:lang w:val="en-US" w:eastAsia="zh-CN" w:bidi="ar-SA"/>
          <w14:ligatures w14:val="standardContextual"/>
        </w:rPr>
      </w:pPr>
      <w:r>
        <w:rPr>
          <w:rFonts w:hint="eastAsia" w:ascii="仿宋" w:hAnsi="仿宋" w:eastAsia="仿宋" w:cs="仿宋"/>
          <w:kern w:val="2"/>
          <w:sz w:val="28"/>
          <w:szCs w:val="24"/>
          <w:lang w:val="en-US" w:eastAsia="zh-CN" w:bidi="ar-SA"/>
          <w14:ligatures w14:val="standardContextual"/>
        </w:rPr>
        <w:t>3、对提交后已审核信息，仅提供查看操作。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280" w:firstLineChars="200"/>
        <w:jc w:val="both"/>
        <w:textAlignment w:val="auto"/>
        <w:rPr>
          <w:rFonts w:hint="eastAsia" w:ascii="仿宋" w:hAnsi="仿宋" w:eastAsia="仿宋" w:cs="仿宋"/>
          <w:kern w:val="2"/>
          <w:sz w:val="28"/>
          <w:szCs w:val="24"/>
          <w:lang w:val="en-US" w:eastAsia="zh-CN" w:bidi="ar-SA"/>
          <w14:ligatures w14:val="standardContextual"/>
        </w:rPr>
      </w:pPr>
      <w:r>
        <w:rPr>
          <w:rFonts w:hint="eastAsia" w:ascii="仿宋" w:hAnsi="仿宋" w:eastAsia="仿宋" w:cs="仿宋"/>
          <w:kern w:val="2"/>
          <w:sz w:val="28"/>
          <w:szCs w:val="24"/>
          <w:lang w:val="en-US" w:eastAsia="zh-CN" w:bidi="ar-SA"/>
          <w14:ligatures w14:val="standardContextual"/>
        </w:rPr>
        <w:t>4、对退回信息，可进行编辑、查看操作。</w:t>
      </w:r>
    </w:p>
    <w:p>
      <w:pPr>
        <w:keepNext w:val="0"/>
        <w:keepLines w:val="0"/>
        <w:pageBreakBefore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黑体" w:hAnsi="黑体" w:eastAsia="黑体" w:cs="黑体"/>
          <w:kern w:val="0"/>
          <w:sz w:val="32"/>
          <w:szCs w:val="32"/>
          <w:lang w:val="en-US" w:eastAsia="zh-CN"/>
          <w14:ligatures w14:val="none"/>
        </w:rPr>
      </w:pPr>
      <w:bookmarkStart w:id="9" w:name="_Toc26888"/>
      <w:r>
        <w:rPr>
          <w:rFonts w:hint="eastAsia" w:ascii="黑体" w:hAnsi="黑体" w:eastAsia="黑体" w:cs="黑体"/>
          <w:kern w:val="0"/>
          <w:sz w:val="32"/>
          <w:szCs w:val="32"/>
          <w:lang w:val="en-US" w:eastAsia="zh-CN"/>
          <w14:ligatures w14:val="none"/>
        </w:rPr>
        <w:t>3.技术支持</w:t>
      </w:r>
      <w:bookmarkEnd w:id="3"/>
      <w:bookmarkEnd w:id="9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280" w:firstLineChars="200"/>
        <w:jc w:val="both"/>
        <w:textAlignment w:val="auto"/>
        <w:rPr>
          <w:rFonts w:hint="eastAsia" w:ascii="仿宋" w:hAnsi="仿宋" w:eastAsia="仿宋" w:cs="仿宋"/>
          <w:kern w:val="2"/>
          <w:sz w:val="28"/>
          <w:szCs w:val="24"/>
          <w:lang w:val="en-US" w:eastAsia="zh-CN" w:bidi="ar-SA"/>
          <w14:ligatures w14:val="standardContextual"/>
        </w:rPr>
      </w:pPr>
      <w:r>
        <w:rPr>
          <w:rFonts w:hint="eastAsia" w:ascii="仿宋" w:hAnsi="仿宋" w:eastAsia="仿宋" w:cs="仿宋"/>
          <w:kern w:val="2"/>
          <w:sz w:val="28"/>
          <w:szCs w:val="24"/>
          <w:lang w:val="en-US" w:eastAsia="zh-CN" w:bidi="ar-SA"/>
          <w14:ligatures w14:val="standardContextual"/>
        </w:rPr>
        <w:t>0571-85786946章老师</w:t>
      </w:r>
    </w:p>
    <w:sectPr>
      <w:headerReference r:id="rId5" w:type="default"/>
      <w:footerReference r:id="rId6" w:type="default"/>
      <w:pgSz w:w="11906" w:h="16838"/>
      <w:pgMar w:top="1701" w:right="1474" w:bottom="1587" w:left="1587" w:header="851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1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ambria">
    <w:altName w:val="Noto Sans Syriac Eastern"/>
    <w:panose1 w:val="02040503050406030204"/>
    <w:charset w:val="00"/>
    <w:family w:val="roman"/>
    <w:pitch w:val="default"/>
    <w:sig w:usb0="00000000" w:usb1="00000000" w:usb2="02000000" w:usb3="00000000" w:csb0="2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_GB2312">
    <w:altName w:val="方正楷体_GBK"/>
    <w:panose1 w:val="02010609030101010101"/>
    <w:charset w:val="00"/>
    <w:family w:val="modern"/>
    <w:pitch w:val="default"/>
    <w:sig w:usb0="00000000" w:usb1="00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oto Sans CJK JP Bold">
    <w:panose1 w:val="020B0800000000000000"/>
    <w:charset w:val="86"/>
    <w:family w:val="auto"/>
    <w:pitch w:val="default"/>
    <w:sig w:usb0="30000003" w:usb1="2BDF3C10" w:usb2="00000016" w:usb3="00000000" w:csb0="602E0107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oto Sans Syriac Eastern">
    <w:panose1 w:val="02040503050306020203"/>
    <w:charset w:val="86"/>
    <w:family w:val="auto"/>
    <w:pitch w:val="default"/>
    <w:sig w:usb0="00000000" w:usb1="00000000" w:usb2="00000080" w:usb3="00000000" w:csb0="203E0161" w:csb1="D7FF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jc w:val="center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WAAAAZHJzL1BLAQIUABQAAAAI&#10;AIdO4kCzSVju0AAAAAUBAAAPAAAAAAAAAAEAIAAAADgAAABkcnMvZG93bnJldi54bWxQSwECFAAU&#10;AAAACACHTuJASQizEBwCAAApBAAADgAAAAAAAAABACAAAAA1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D5B2201"/>
    <w:multiLevelType w:val="multilevel"/>
    <w:tmpl w:val="CD5B2201"/>
    <w:lvl w:ilvl="0" w:tentative="0">
      <w:start w:val="1"/>
      <w:numFmt w:val="decimal"/>
      <w:pStyle w:val="4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5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6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7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8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9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10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11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2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E4584E"/>
    <w:rsid w:val="00150EAD"/>
    <w:rsid w:val="007200AE"/>
    <w:rsid w:val="008A5D39"/>
    <w:rsid w:val="00A327D5"/>
    <w:rsid w:val="00DC5E6F"/>
    <w:rsid w:val="010F3B4F"/>
    <w:rsid w:val="011C1CAE"/>
    <w:rsid w:val="013E00C5"/>
    <w:rsid w:val="01806516"/>
    <w:rsid w:val="01865DC0"/>
    <w:rsid w:val="01E52B01"/>
    <w:rsid w:val="01F86CD9"/>
    <w:rsid w:val="024B6E08"/>
    <w:rsid w:val="024D329B"/>
    <w:rsid w:val="03265180"/>
    <w:rsid w:val="0337493F"/>
    <w:rsid w:val="03DF1EFE"/>
    <w:rsid w:val="03FB660C"/>
    <w:rsid w:val="04387860"/>
    <w:rsid w:val="044E03A3"/>
    <w:rsid w:val="04AC5B58"/>
    <w:rsid w:val="04AF37B7"/>
    <w:rsid w:val="05370C7B"/>
    <w:rsid w:val="05793C8D"/>
    <w:rsid w:val="05852BDA"/>
    <w:rsid w:val="05AE092A"/>
    <w:rsid w:val="067D59FE"/>
    <w:rsid w:val="06BE15D3"/>
    <w:rsid w:val="06D82C35"/>
    <w:rsid w:val="06E37835"/>
    <w:rsid w:val="071B72C1"/>
    <w:rsid w:val="07267E44"/>
    <w:rsid w:val="07D948ED"/>
    <w:rsid w:val="07DA39BA"/>
    <w:rsid w:val="08161C67"/>
    <w:rsid w:val="08B35707"/>
    <w:rsid w:val="08B84ACC"/>
    <w:rsid w:val="08C07850"/>
    <w:rsid w:val="091D75BB"/>
    <w:rsid w:val="09830498"/>
    <w:rsid w:val="09C61A5A"/>
    <w:rsid w:val="09DD461D"/>
    <w:rsid w:val="0A0501E5"/>
    <w:rsid w:val="0A382368"/>
    <w:rsid w:val="0AC8401A"/>
    <w:rsid w:val="0B5D1CFF"/>
    <w:rsid w:val="0BB70F4B"/>
    <w:rsid w:val="0C590374"/>
    <w:rsid w:val="0C811679"/>
    <w:rsid w:val="0C8406AF"/>
    <w:rsid w:val="0C945850"/>
    <w:rsid w:val="0D0B3D64"/>
    <w:rsid w:val="0D526BF1"/>
    <w:rsid w:val="0D7C1107"/>
    <w:rsid w:val="0DBF06AB"/>
    <w:rsid w:val="0DEC33DE"/>
    <w:rsid w:val="0DF265CB"/>
    <w:rsid w:val="0E0D1DA3"/>
    <w:rsid w:val="0E1806AD"/>
    <w:rsid w:val="0E6331E7"/>
    <w:rsid w:val="0EBB70C4"/>
    <w:rsid w:val="0F1C2F5E"/>
    <w:rsid w:val="0F580DB7"/>
    <w:rsid w:val="0FA82755"/>
    <w:rsid w:val="0FE827F6"/>
    <w:rsid w:val="10172A20"/>
    <w:rsid w:val="102B2027"/>
    <w:rsid w:val="11EE155E"/>
    <w:rsid w:val="125B6DD1"/>
    <w:rsid w:val="127174C9"/>
    <w:rsid w:val="12BE3627"/>
    <w:rsid w:val="12C678AC"/>
    <w:rsid w:val="13103E92"/>
    <w:rsid w:val="145966A5"/>
    <w:rsid w:val="14A34882"/>
    <w:rsid w:val="14D16698"/>
    <w:rsid w:val="14F450DE"/>
    <w:rsid w:val="155572BB"/>
    <w:rsid w:val="159468C1"/>
    <w:rsid w:val="15D762E4"/>
    <w:rsid w:val="15E37F2A"/>
    <w:rsid w:val="16273291"/>
    <w:rsid w:val="1642278D"/>
    <w:rsid w:val="16696A6C"/>
    <w:rsid w:val="16F21AF1"/>
    <w:rsid w:val="170C072B"/>
    <w:rsid w:val="178C784F"/>
    <w:rsid w:val="17FC4B07"/>
    <w:rsid w:val="183043D3"/>
    <w:rsid w:val="18440559"/>
    <w:rsid w:val="18A64941"/>
    <w:rsid w:val="18B2778A"/>
    <w:rsid w:val="18E90CD1"/>
    <w:rsid w:val="19314B52"/>
    <w:rsid w:val="195271C6"/>
    <w:rsid w:val="19B94B48"/>
    <w:rsid w:val="1AA1630A"/>
    <w:rsid w:val="1AC508A3"/>
    <w:rsid w:val="1B332144"/>
    <w:rsid w:val="1BBE3D76"/>
    <w:rsid w:val="1BC51582"/>
    <w:rsid w:val="1BCC2910"/>
    <w:rsid w:val="1C146065"/>
    <w:rsid w:val="1C422BD3"/>
    <w:rsid w:val="1C87149D"/>
    <w:rsid w:val="1D864D41"/>
    <w:rsid w:val="1DD47C35"/>
    <w:rsid w:val="1F070275"/>
    <w:rsid w:val="1F170346"/>
    <w:rsid w:val="1F9F5F06"/>
    <w:rsid w:val="1FEA5A5B"/>
    <w:rsid w:val="2041027D"/>
    <w:rsid w:val="2063580D"/>
    <w:rsid w:val="20A976C4"/>
    <w:rsid w:val="20CF2A6B"/>
    <w:rsid w:val="210C1A01"/>
    <w:rsid w:val="21907D9E"/>
    <w:rsid w:val="21AE4866"/>
    <w:rsid w:val="21DC7625"/>
    <w:rsid w:val="221D6CF9"/>
    <w:rsid w:val="22B814DB"/>
    <w:rsid w:val="22E4584E"/>
    <w:rsid w:val="23144B9D"/>
    <w:rsid w:val="235C6C70"/>
    <w:rsid w:val="23BE0D6C"/>
    <w:rsid w:val="243279D1"/>
    <w:rsid w:val="247104F9"/>
    <w:rsid w:val="252217F3"/>
    <w:rsid w:val="25333A00"/>
    <w:rsid w:val="255C100E"/>
    <w:rsid w:val="2621446A"/>
    <w:rsid w:val="26263565"/>
    <w:rsid w:val="26347A30"/>
    <w:rsid w:val="26B80661"/>
    <w:rsid w:val="26F62F37"/>
    <w:rsid w:val="27133AE9"/>
    <w:rsid w:val="281A4A03"/>
    <w:rsid w:val="28A864B3"/>
    <w:rsid w:val="2A3E263B"/>
    <w:rsid w:val="2A930A9D"/>
    <w:rsid w:val="2A9D36CA"/>
    <w:rsid w:val="2AEF2177"/>
    <w:rsid w:val="2B1044E5"/>
    <w:rsid w:val="2B14048D"/>
    <w:rsid w:val="2B1E6838"/>
    <w:rsid w:val="2B275DB5"/>
    <w:rsid w:val="2B2C3635"/>
    <w:rsid w:val="2B983C89"/>
    <w:rsid w:val="2D410C84"/>
    <w:rsid w:val="2DB66CAA"/>
    <w:rsid w:val="2DC21638"/>
    <w:rsid w:val="2F0949A8"/>
    <w:rsid w:val="2F0A7BE4"/>
    <w:rsid w:val="2F546E49"/>
    <w:rsid w:val="30257C8E"/>
    <w:rsid w:val="303845C1"/>
    <w:rsid w:val="30556F21"/>
    <w:rsid w:val="310B3A83"/>
    <w:rsid w:val="31E0281A"/>
    <w:rsid w:val="31EA721B"/>
    <w:rsid w:val="32313075"/>
    <w:rsid w:val="33710457"/>
    <w:rsid w:val="33833DA5"/>
    <w:rsid w:val="338B5000"/>
    <w:rsid w:val="33CD3272"/>
    <w:rsid w:val="33EE55C1"/>
    <w:rsid w:val="33FE78CF"/>
    <w:rsid w:val="341E7629"/>
    <w:rsid w:val="342A4220"/>
    <w:rsid w:val="34EF0FC6"/>
    <w:rsid w:val="354229F0"/>
    <w:rsid w:val="359C7B48"/>
    <w:rsid w:val="35AB313F"/>
    <w:rsid w:val="35EE5151"/>
    <w:rsid w:val="35F400B3"/>
    <w:rsid w:val="35FE70D7"/>
    <w:rsid w:val="36150687"/>
    <w:rsid w:val="365612FD"/>
    <w:rsid w:val="36615FE2"/>
    <w:rsid w:val="366963C1"/>
    <w:rsid w:val="367134E1"/>
    <w:rsid w:val="36DD1A1E"/>
    <w:rsid w:val="36EA5EE9"/>
    <w:rsid w:val="37A442EA"/>
    <w:rsid w:val="37B87D95"/>
    <w:rsid w:val="386F3594"/>
    <w:rsid w:val="38D04A8C"/>
    <w:rsid w:val="38DB3D3B"/>
    <w:rsid w:val="38FD4A32"/>
    <w:rsid w:val="390810C8"/>
    <w:rsid w:val="394E6C03"/>
    <w:rsid w:val="395A0729"/>
    <w:rsid w:val="39D501AC"/>
    <w:rsid w:val="3A791A5E"/>
    <w:rsid w:val="3AA52853"/>
    <w:rsid w:val="3B830F21"/>
    <w:rsid w:val="3BE415B2"/>
    <w:rsid w:val="3C9A5CBB"/>
    <w:rsid w:val="3DB50455"/>
    <w:rsid w:val="3DB86D8D"/>
    <w:rsid w:val="3E5849EE"/>
    <w:rsid w:val="3EDF3E9A"/>
    <w:rsid w:val="3F03BE7A"/>
    <w:rsid w:val="3F077B19"/>
    <w:rsid w:val="3F634A8A"/>
    <w:rsid w:val="3FB70B60"/>
    <w:rsid w:val="3FBF43B6"/>
    <w:rsid w:val="3FF7758F"/>
    <w:rsid w:val="40152228"/>
    <w:rsid w:val="40BE35B7"/>
    <w:rsid w:val="413E6F01"/>
    <w:rsid w:val="41F45E6E"/>
    <w:rsid w:val="42BF022A"/>
    <w:rsid w:val="430E4726"/>
    <w:rsid w:val="435A588D"/>
    <w:rsid w:val="437D25BE"/>
    <w:rsid w:val="43BA2A6A"/>
    <w:rsid w:val="441421E2"/>
    <w:rsid w:val="444C6312"/>
    <w:rsid w:val="44AB453E"/>
    <w:rsid w:val="4554664F"/>
    <w:rsid w:val="45765517"/>
    <w:rsid w:val="457B46C5"/>
    <w:rsid w:val="469A1566"/>
    <w:rsid w:val="46BC1650"/>
    <w:rsid w:val="47F92430"/>
    <w:rsid w:val="48C52312"/>
    <w:rsid w:val="492C0787"/>
    <w:rsid w:val="49AB1508"/>
    <w:rsid w:val="49F27137"/>
    <w:rsid w:val="4A084BAC"/>
    <w:rsid w:val="4AD64B3D"/>
    <w:rsid w:val="4B226A7C"/>
    <w:rsid w:val="4B241572"/>
    <w:rsid w:val="4B2B2900"/>
    <w:rsid w:val="4BB02E05"/>
    <w:rsid w:val="4C454A60"/>
    <w:rsid w:val="4C706B26"/>
    <w:rsid w:val="4C7622A1"/>
    <w:rsid w:val="4C90449D"/>
    <w:rsid w:val="4CAA3CF8"/>
    <w:rsid w:val="4CBD7ED0"/>
    <w:rsid w:val="4D1A2F44"/>
    <w:rsid w:val="4D3006A2"/>
    <w:rsid w:val="4D3A5285"/>
    <w:rsid w:val="4D682880"/>
    <w:rsid w:val="4DA04F6B"/>
    <w:rsid w:val="4DA46948"/>
    <w:rsid w:val="4DB82445"/>
    <w:rsid w:val="4DC42B98"/>
    <w:rsid w:val="4DF8783B"/>
    <w:rsid w:val="4E7B78F8"/>
    <w:rsid w:val="4EB15812"/>
    <w:rsid w:val="4FC82E13"/>
    <w:rsid w:val="4FF04118"/>
    <w:rsid w:val="50B2655C"/>
    <w:rsid w:val="510936E3"/>
    <w:rsid w:val="511A58F1"/>
    <w:rsid w:val="51305287"/>
    <w:rsid w:val="51450494"/>
    <w:rsid w:val="517B2107"/>
    <w:rsid w:val="51BC194B"/>
    <w:rsid w:val="520D7203"/>
    <w:rsid w:val="52167D3F"/>
    <w:rsid w:val="52221C4C"/>
    <w:rsid w:val="523F4825"/>
    <w:rsid w:val="525F10E1"/>
    <w:rsid w:val="526B217C"/>
    <w:rsid w:val="53081779"/>
    <w:rsid w:val="53726FB7"/>
    <w:rsid w:val="53E73A84"/>
    <w:rsid w:val="54060DDF"/>
    <w:rsid w:val="541B5AFB"/>
    <w:rsid w:val="545207D2"/>
    <w:rsid w:val="549D01C5"/>
    <w:rsid w:val="554967A4"/>
    <w:rsid w:val="558C48E3"/>
    <w:rsid w:val="55A7399A"/>
    <w:rsid w:val="55DD4614"/>
    <w:rsid w:val="56025D12"/>
    <w:rsid w:val="56CA56C3"/>
    <w:rsid w:val="56FD3FA1"/>
    <w:rsid w:val="57713D91"/>
    <w:rsid w:val="57F347A6"/>
    <w:rsid w:val="582C1122"/>
    <w:rsid w:val="58A65CBC"/>
    <w:rsid w:val="59215342"/>
    <w:rsid w:val="59375A1D"/>
    <w:rsid w:val="59701E26"/>
    <w:rsid w:val="59F54529"/>
    <w:rsid w:val="5AA57EDE"/>
    <w:rsid w:val="5AC95C92"/>
    <w:rsid w:val="5B836255"/>
    <w:rsid w:val="5BAA161F"/>
    <w:rsid w:val="5BD743DE"/>
    <w:rsid w:val="5C547244"/>
    <w:rsid w:val="5C725121"/>
    <w:rsid w:val="5D066D29"/>
    <w:rsid w:val="5D847211"/>
    <w:rsid w:val="5D887B53"/>
    <w:rsid w:val="5DCB6CDF"/>
    <w:rsid w:val="5DFE20F6"/>
    <w:rsid w:val="5E373AEB"/>
    <w:rsid w:val="5E770480"/>
    <w:rsid w:val="5E8E1597"/>
    <w:rsid w:val="5EDD1D0C"/>
    <w:rsid w:val="5F1A2F60"/>
    <w:rsid w:val="5F6441DB"/>
    <w:rsid w:val="5F77CE52"/>
    <w:rsid w:val="5FBF1411"/>
    <w:rsid w:val="600F3A14"/>
    <w:rsid w:val="601F78BB"/>
    <w:rsid w:val="607F00A3"/>
    <w:rsid w:val="60BB42CE"/>
    <w:rsid w:val="612D45D4"/>
    <w:rsid w:val="618F153F"/>
    <w:rsid w:val="619C4100"/>
    <w:rsid w:val="621824F6"/>
    <w:rsid w:val="623A400D"/>
    <w:rsid w:val="62CB302E"/>
    <w:rsid w:val="62EC6826"/>
    <w:rsid w:val="634B38FA"/>
    <w:rsid w:val="636F7ACC"/>
    <w:rsid w:val="63BA086D"/>
    <w:rsid w:val="63FD075A"/>
    <w:rsid w:val="64487C27"/>
    <w:rsid w:val="64502B5B"/>
    <w:rsid w:val="65092761"/>
    <w:rsid w:val="652A37D1"/>
    <w:rsid w:val="653E7BF2"/>
    <w:rsid w:val="65FD27C0"/>
    <w:rsid w:val="666C3121"/>
    <w:rsid w:val="66890BD4"/>
    <w:rsid w:val="67057615"/>
    <w:rsid w:val="67070FD0"/>
    <w:rsid w:val="6785541B"/>
    <w:rsid w:val="680756B6"/>
    <w:rsid w:val="680A62EC"/>
    <w:rsid w:val="688E0C2B"/>
    <w:rsid w:val="68D756E5"/>
    <w:rsid w:val="690B56C7"/>
    <w:rsid w:val="69232A11"/>
    <w:rsid w:val="695567B3"/>
    <w:rsid w:val="6A577A5F"/>
    <w:rsid w:val="6AC77CBF"/>
    <w:rsid w:val="6B8C0D18"/>
    <w:rsid w:val="6BA442DD"/>
    <w:rsid w:val="6CA81BAB"/>
    <w:rsid w:val="6CEF77DA"/>
    <w:rsid w:val="6CFA617E"/>
    <w:rsid w:val="6D5B4E6F"/>
    <w:rsid w:val="6E030604"/>
    <w:rsid w:val="6E241705"/>
    <w:rsid w:val="6E7E6481"/>
    <w:rsid w:val="6F595014"/>
    <w:rsid w:val="6F6049BF"/>
    <w:rsid w:val="6F7F36C3"/>
    <w:rsid w:val="6F9603E0"/>
    <w:rsid w:val="6FEEA31E"/>
    <w:rsid w:val="704C4F43"/>
    <w:rsid w:val="71FE401B"/>
    <w:rsid w:val="7214478E"/>
    <w:rsid w:val="726E11A1"/>
    <w:rsid w:val="72800ED4"/>
    <w:rsid w:val="72842772"/>
    <w:rsid w:val="73272BCF"/>
    <w:rsid w:val="73284442"/>
    <w:rsid w:val="737547B1"/>
    <w:rsid w:val="73842D8A"/>
    <w:rsid w:val="73AA1159"/>
    <w:rsid w:val="73CE5A22"/>
    <w:rsid w:val="73D7599C"/>
    <w:rsid w:val="74081181"/>
    <w:rsid w:val="744C5512"/>
    <w:rsid w:val="7476433D"/>
    <w:rsid w:val="74980757"/>
    <w:rsid w:val="74DC4AE7"/>
    <w:rsid w:val="758F784A"/>
    <w:rsid w:val="75B90985"/>
    <w:rsid w:val="75DD70F5"/>
    <w:rsid w:val="767D7C04"/>
    <w:rsid w:val="771D10FD"/>
    <w:rsid w:val="777F79AC"/>
    <w:rsid w:val="778C4E61"/>
    <w:rsid w:val="77AB38A0"/>
    <w:rsid w:val="798B023C"/>
    <w:rsid w:val="7A137FC7"/>
    <w:rsid w:val="7A387111"/>
    <w:rsid w:val="7A666D32"/>
    <w:rsid w:val="7A727042"/>
    <w:rsid w:val="7B56407B"/>
    <w:rsid w:val="7B892BA7"/>
    <w:rsid w:val="7C091F3A"/>
    <w:rsid w:val="7C772DC5"/>
    <w:rsid w:val="7CCF49B2"/>
    <w:rsid w:val="7D1B19F7"/>
    <w:rsid w:val="7D6D3894"/>
    <w:rsid w:val="7E1352F2"/>
    <w:rsid w:val="7E19328C"/>
    <w:rsid w:val="7E327526"/>
    <w:rsid w:val="7EDD2A81"/>
    <w:rsid w:val="7FEF7996"/>
    <w:rsid w:val="B3A64A0F"/>
    <w:rsid w:val="E6970F4F"/>
    <w:rsid w:val="E7B79DCA"/>
    <w:rsid w:val="EADD15B4"/>
    <w:rsid w:val="F7FE2346"/>
    <w:rsid w:val="FEEB64AC"/>
    <w:rsid w:val="FFEE7389"/>
    <w:rsid w:val="FFFE7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nhideWhenUsed="0" w:uiPriority="39" w:semiHidden="0" w:name="toc 3"/>
    <w:lsdException w:qFormat="1" w:uiPriority="39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480" w:lineRule="auto"/>
      <w:jc w:val="both"/>
    </w:pPr>
    <w:rPr>
      <w:rFonts w:eastAsia="仿宋" w:asciiTheme="minorHAnsi" w:hAnsiTheme="minorHAnsi" w:cstheme="minorBidi"/>
      <w:kern w:val="2"/>
      <w:sz w:val="28"/>
      <w:szCs w:val="24"/>
      <w:lang w:val="en-US" w:eastAsia="zh-CN" w:bidi="ar-SA"/>
      <w14:ligatures w14:val="standardContextual"/>
    </w:rPr>
  </w:style>
  <w:style w:type="paragraph" w:styleId="4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b/>
      <w:kern w:val="44"/>
      <w:sz w:val="44"/>
    </w:rPr>
  </w:style>
  <w:style w:type="paragraph" w:styleId="5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575" w:hanging="575"/>
      <w:outlineLvl w:val="1"/>
    </w:pPr>
    <w:rPr>
      <w:rFonts w:ascii="Arial" w:hAnsi="Arial" w:eastAsia="黑体"/>
      <w:b/>
      <w:sz w:val="32"/>
    </w:rPr>
  </w:style>
  <w:style w:type="paragraph" w:styleId="6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2"/>
    </w:rPr>
  </w:style>
  <w:style w:type="paragraph" w:styleId="7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8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9">
    <w:name w:val="heading 6"/>
    <w:basedOn w:val="1"/>
    <w:next w:val="1"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10">
    <w:name w:val="heading 7"/>
    <w:basedOn w:val="1"/>
    <w:next w:val="1"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11">
    <w:name w:val="heading 8"/>
    <w:basedOn w:val="1"/>
    <w:next w:val="1"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2">
    <w:name w:val="heading 9"/>
    <w:basedOn w:val="1"/>
    <w:next w:val="1"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23">
    <w:name w:val="Default Paragraph Font"/>
    <w:semiHidden/>
    <w:qFormat/>
    <w:uiPriority w:val="0"/>
  </w:style>
  <w:style w:type="table" w:default="1" w:styleId="2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before="0" w:after="140" w:line="276" w:lineRule="auto"/>
    </w:pPr>
  </w:style>
  <w:style w:type="paragraph" w:styleId="3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  <w:style w:type="paragraph" w:styleId="14">
    <w:name w:val="annotation text"/>
    <w:basedOn w:val="1"/>
    <w:qFormat/>
    <w:uiPriority w:val="0"/>
    <w:pPr>
      <w:jc w:val="left"/>
    </w:pPr>
  </w:style>
  <w:style w:type="paragraph" w:styleId="15">
    <w:name w:val="toc 3"/>
    <w:basedOn w:val="1"/>
    <w:next w:val="1"/>
    <w:qFormat/>
    <w:uiPriority w:val="39"/>
    <w:pPr>
      <w:tabs>
        <w:tab w:val="left" w:pos="420"/>
        <w:tab w:val="right" w:leader="dot" w:pos="8296"/>
      </w:tabs>
      <w:ind w:firstLine="630" w:firstLineChars="300"/>
    </w:pPr>
  </w:style>
  <w:style w:type="paragraph" w:styleId="1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7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8">
    <w:name w:val="toc 1"/>
    <w:basedOn w:val="1"/>
    <w:next w:val="1"/>
    <w:unhideWhenUsed/>
    <w:qFormat/>
    <w:uiPriority w:val="39"/>
  </w:style>
  <w:style w:type="paragraph" w:styleId="19">
    <w:name w:val="toc 4"/>
    <w:basedOn w:val="1"/>
    <w:next w:val="1"/>
    <w:unhideWhenUsed/>
    <w:qFormat/>
    <w:uiPriority w:val="39"/>
    <w:pPr>
      <w:ind w:left="1260" w:leftChars="600"/>
    </w:pPr>
    <w:rPr>
      <w:rFonts w:ascii="Calibri" w:hAnsi="Calibri"/>
      <w:szCs w:val="22"/>
    </w:rPr>
  </w:style>
  <w:style w:type="paragraph" w:styleId="20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22">
    <w:name w:val="Table Grid"/>
    <w:basedOn w:val="21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4">
    <w:name w:val="Hyperlink"/>
    <w:basedOn w:val="23"/>
    <w:qFormat/>
    <w:uiPriority w:val="0"/>
    <w:rPr>
      <w:color w:val="0000FF"/>
      <w:u w:val="single"/>
    </w:rPr>
  </w:style>
  <w:style w:type="paragraph" w:customStyle="1" w:styleId="25">
    <w:name w:val="TOC Heading"/>
    <w:basedOn w:val="4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26">
    <w:name w:val="正文缩进2"/>
    <w:basedOn w:val="1"/>
    <w:qFormat/>
    <w:uiPriority w:val="0"/>
    <w:pPr>
      <w:spacing w:line="360" w:lineRule="auto"/>
      <w:ind w:firstLine="200" w:firstLineChars="200"/>
    </w:pPr>
    <w:rPr>
      <w:rFonts w:asciiTheme="minorHAnsi" w:hAnsiTheme="minorHAnsi" w:eastAsiaTheme="minorEastAsia" w:cstheme="minorBidi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770</Words>
  <Characters>858</Characters>
  <Lines>0</Lines>
  <Paragraphs>0</Paragraphs>
  <TotalTime>12</TotalTime>
  <ScaleCrop>false</ScaleCrop>
  <LinksUpToDate>false</LinksUpToDate>
  <CharactersWithSpaces>881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2025-07-16T08:07:00Z</dcterms:created>
  <dc:creator>一颗玻璃糖</dc:creator>
  <cp:lastModifiedBy>guest</cp:lastModifiedBy>
  <dcterms:modified xsi:type="dcterms:W3CDTF">2025-09-02T16:19:12Z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  <property fmtid="{D5CDD505-2E9C-101B-9397-08002B2CF9AE}" pid="3" name="ICV">
    <vt:lpwstr>BDF2421E7AF242B69E3C93D5A876B529_13</vt:lpwstr>
  </property>
  <property fmtid="{D5CDD505-2E9C-101B-9397-08002B2CF9AE}" pid="4" name="KSOTemplateDocerSaveRecord">
    <vt:lpwstr>eyJoZGlkIjoiMzEwNTM5NzYwMDRjMzkwZTVkZjY2ODkwMGIxNGU0OTUiLCJ1c2VySWQiOiIxNjY5MjAxMDcyIn0=</vt:lpwstr>
  </property>
</Properties>
</file>