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ind w:left="9" w:leftChars="-67" w:hanging="150" w:hangingChars="47"/>
        <w:rPr>
          <w:rFonts w:eastAsia="黑体"/>
          <w:sz w:val="30"/>
          <w:szCs w:val="30"/>
        </w:rPr>
      </w:pPr>
      <w:r>
        <w:rPr>
          <w:rFonts w:eastAsia="仿宋_GB2312"/>
          <w:sz w:val="32"/>
          <w:szCs w:val="32"/>
        </w:rPr>
        <w:t xml:space="preserve">附件：                      </w:t>
      </w:r>
      <w:bookmarkStart w:id="0" w:name="_GoBack"/>
      <w:r>
        <w:rPr>
          <w:rFonts w:eastAsia="方正小标宋简体"/>
          <w:color w:val="000000"/>
          <w:sz w:val="44"/>
          <w:szCs w:val="44"/>
        </w:rPr>
        <w:t>法治政府建设示范创建指标体系</w:t>
      </w:r>
      <w:bookmarkEnd w:id="0"/>
    </w:p>
    <w:tbl>
      <w:tblPr>
        <w:tblStyle w:val="5"/>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00"/>
        <w:gridCol w:w="546"/>
        <w:gridCol w:w="955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690" w:type="dxa"/>
            <w:vAlign w:val="center"/>
          </w:tcPr>
          <w:p>
            <w:pPr>
              <w:adjustRightInd w:val="0"/>
              <w:snapToGrid w:val="0"/>
              <w:jc w:val="center"/>
              <w:rPr>
                <w:rFonts w:eastAsia="黑体"/>
                <w:color w:val="000000"/>
                <w:szCs w:val="21"/>
              </w:rPr>
            </w:pPr>
            <w:r>
              <w:rPr>
                <w:rFonts w:eastAsia="黑体"/>
                <w:color w:val="000000"/>
                <w:szCs w:val="21"/>
              </w:rPr>
              <w:t>一级</w:t>
            </w:r>
          </w:p>
          <w:p>
            <w:pPr>
              <w:adjustRightInd w:val="0"/>
              <w:snapToGrid w:val="0"/>
              <w:jc w:val="center"/>
              <w:rPr>
                <w:rFonts w:eastAsia="黑体"/>
                <w:color w:val="000000"/>
                <w:szCs w:val="21"/>
              </w:rPr>
            </w:pPr>
            <w:r>
              <w:rPr>
                <w:rFonts w:eastAsia="黑体"/>
                <w:color w:val="000000"/>
                <w:szCs w:val="21"/>
              </w:rPr>
              <w:t>指标</w:t>
            </w:r>
          </w:p>
        </w:tc>
        <w:tc>
          <w:tcPr>
            <w:tcW w:w="1400" w:type="dxa"/>
            <w:vAlign w:val="center"/>
          </w:tcPr>
          <w:p>
            <w:pPr>
              <w:adjustRightInd w:val="0"/>
              <w:snapToGrid w:val="0"/>
              <w:jc w:val="center"/>
              <w:rPr>
                <w:rFonts w:eastAsia="黑体"/>
                <w:color w:val="000000"/>
                <w:szCs w:val="21"/>
              </w:rPr>
            </w:pPr>
            <w:r>
              <w:rPr>
                <w:rFonts w:eastAsia="黑体"/>
                <w:color w:val="000000"/>
                <w:szCs w:val="21"/>
              </w:rPr>
              <w:t>二级指标</w:t>
            </w:r>
          </w:p>
        </w:tc>
        <w:tc>
          <w:tcPr>
            <w:tcW w:w="546" w:type="dxa"/>
            <w:vAlign w:val="center"/>
          </w:tcPr>
          <w:p>
            <w:pPr>
              <w:adjustRightInd w:val="0"/>
              <w:snapToGrid w:val="0"/>
              <w:jc w:val="center"/>
              <w:rPr>
                <w:rFonts w:eastAsia="黑体"/>
                <w:color w:val="000000"/>
                <w:szCs w:val="21"/>
              </w:rPr>
            </w:pPr>
            <w:r>
              <w:rPr>
                <w:rFonts w:eastAsia="黑体"/>
                <w:color w:val="000000"/>
                <w:szCs w:val="21"/>
              </w:rPr>
              <w:t>序号</w:t>
            </w:r>
          </w:p>
        </w:tc>
        <w:tc>
          <w:tcPr>
            <w:tcW w:w="9555" w:type="dxa"/>
            <w:vAlign w:val="center"/>
          </w:tcPr>
          <w:p>
            <w:pPr>
              <w:adjustRightInd w:val="0"/>
              <w:snapToGrid w:val="0"/>
              <w:jc w:val="center"/>
              <w:rPr>
                <w:rFonts w:eastAsia="黑体"/>
                <w:color w:val="000000"/>
                <w:szCs w:val="21"/>
              </w:rPr>
            </w:pPr>
            <w:r>
              <w:rPr>
                <w:rFonts w:eastAsia="黑体"/>
                <w:color w:val="000000"/>
                <w:szCs w:val="21"/>
              </w:rPr>
              <w:t>三级指标</w:t>
            </w:r>
          </w:p>
        </w:tc>
        <w:tc>
          <w:tcPr>
            <w:tcW w:w="1985" w:type="dxa"/>
            <w:vAlign w:val="center"/>
          </w:tcPr>
          <w:p>
            <w:pPr>
              <w:adjustRightInd w:val="0"/>
              <w:snapToGrid w:val="0"/>
              <w:jc w:val="center"/>
              <w:rPr>
                <w:rFonts w:eastAsia="黑体"/>
                <w:color w:val="000000"/>
                <w:szCs w:val="21"/>
              </w:rPr>
            </w:pPr>
            <w:r>
              <w:rPr>
                <w:rFonts w:eastAsia="黑体"/>
                <w:color w:val="000000"/>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690" w:type="dxa"/>
            <w:vMerge w:val="restart"/>
            <w:vAlign w:val="center"/>
          </w:tcPr>
          <w:p>
            <w:pPr>
              <w:widowControl/>
              <w:adjustRightInd w:val="0"/>
              <w:snapToGrid w:val="0"/>
              <w:jc w:val="center"/>
              <w:rPr>
                <w:rFonts w:eastAsia="黑体"/>
                <w:color w:val="000000"/>
                <w:szCs w:val="21"/>
              </w:rPr>
            </w:pPr>
            <w:r>
              <w:rPr>
                <w:rFonts w:hAnsi="黑体" w:eastAsia="黑体"/>
                <w:color w:val="000000"/>
                <w:szCs w:val="21"/>
              </w:rPr>
              <w:t>一、</w:t>
            </w:r>
          </w:p>
          <w:p>
            <w:pPr>
              <w:widowControl/>
              <w:adjustRightInd w:val="0"/>
              <w:snapToGrid w:val="0"/>
              <w:jc w:val="center"/>
              <w:rPr>
                <w:rFonts w:eastAsia="黑体"/>
                <w:szCs w:val="21"/>
              </w:rPr>
            </w:pPr>
            <w:r>
              <w:rPr>
                <w:rFonts w:hAnsi="黑体" w:eastAsia="黑体"/>
                <w:color w:val="000000"/>
                <w:szCs w:val="21"/>
              </w:rPr>
              <w:t>政府职能依法全面履行</w:t>
            </w:r>
          </w:p>
        </w:tc>
        <w:tc>
          <w:tcPr>
            <w:tcW w:w="1400" w:type="dxa"/>
            <w:vMerge w:val="restart"/>
            <w:vAlign w:val="center"/>
          </w:tcPr>
          <w:p>
            <w:pPr>
              <w:widowControl/>
              <w:adjustRightInd w:val="0"/>
              <w:snapToGrid w:val="0"/>
              <w:rPr>
                <w:rFonts w:eastAsia="黑体"/>
                <w:szCs w:val="21"/>
              </w:rPr>
            </w:pPr>
            <w:r>
              <w:rPr>
                <w:color w:val="000000"/>
                <w:szCs w:val="21"/>
              </w:rPr>
              <w:t>1.行政审批制度改革全面推行。</w:t>
            </w:r>
          </w:p>
        </w:tc>
        <w:tc>
          <w:tcPr>
            <w:tcW w:w="546" w:type="dxa"/>
            <w:vAlign w:val="center"/>
          </w:tcPr>
          <w:p>
            <w:pPr>
              <w:adjustRightInd w:val="0"/>
              <w:snapToGrid w:val="0"/>
              <w:jc w:val="center"/>
              <w:rPr>
                <w:color w:val="000000"/>
                <w:szCs w:val="21"/>
              </w:rPr>
            </w:pPr>
            <w:r>
              <w:rPr>
                <w:color w:val="000000"/>
                <w:szCs w:val="21"/>
              </w:rPr>
              <w:t>1</w:t>
            </w:r>
          </w:p>
        </w:tc>
        <w:tc>
          <w:tcPr>
            <w:tcW w:w="9555" w:type="dxa"/>
            <w:vAlign w:val="center"/>
          </w:tcPr>
          <w:p>
            <w:pPr>
              <w:adjustRightInd w:val="0"/>
              <w:snapToGrid w:val="0"/>
              <w:jc w:val="left"/>
              <w:rPr>
                <w:color w:val="000000"/>
                <w:szCs w:val="21"/>
              </w:rPr>
            </w:pPr>
            <w:r>
              <w:rPr>
                <w:color w:val="000000"/>
                <w:szCs w:val="21"/>
              </w:rPr>
              <w:t>向社会公布本级政府全部行政审批事项清单，实行目录化、编码化、动态化管理。行政审批事项在法定期限内完成并不断压缩办理时限。</w:t>
            </w:r>
          </w:p>
        </w:tc>
        <w:tc>
          <w:tcPr>
            <w:tcW w:w="1985" w:type="dxa"/>
            <w:vMerge w:val="restart"/>
            <w:vAlign w:val="center"/>
          </w:tcPr>
          <w:p>
            <w:pPr>
              <w:adjustRightInd w:val="0"/>
              <w:snapToGrid w:val="0"/>
              <w:jc w:val="center"/>
              <w:rPr>
                <w:rFonts w:eastAsia="黑体"/>
                <w:color w:val="000000"/>
                <w:szCs w:val="21"/>
              </w:rPr>
            </w:pPr>
            <w:r>
              <w:rPr>
                <w:rFonts w:hAnsi="黑体" w:eastAsia="黑体"/>
                <w:color w:val="000000"/>
                <w:szCs w:val="21"/>
              </w:rPr>
              <w:t>法规稽查科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color w:val="000000"/>
                <w:szCs w:val="21"/>
              </w:rPr>
            </w:pPr>
            <w:r>
              <w:rPr>
                <w:color w:val="000000"/>
                <w:szCs w:val="21"/>
              </w:rPr>
              <w:t>2</w:t>
            </w:r>
          </w:p>
        </w:tc>
        <w:tc>
          <w:tcPr>
            <w:tcW w:w="9555" w:type="dxa"/>
            <w:vAlign w:val="center"/>
          </w:tcPr>
          <w:p>
            <w:pPr>
              <w:adjustRightInd w:val="0"/>
              <w:snapToGrid w:val="0"/>
              <w:jc w:val="left"/>
              <w:rPr>
                <w:color w:val="000000"/>
                <w:szCs w:val="21"/>
              </w:rPr>
            </w:pPr>
            <w:r>
              <w:rPr>
                <w:color w:val="000000"/>
                <w:szCs w:val="21"/>
              </w:rPr>
              <w:t>非行政许可审批事项全部取消。不符合行政许可法规定的许可全部取消。不存在违法设立备案、登记、行政确认等任何形式的变相审批或许可事项。做好上级政府取消、下放行政审批事项的落实和承接工作。</w:t>
            </w:r>
          </w:p>
        </w:tc>
        <w:tc>
          <w:tcPr>
            <w:tcW w:w="1985" w:type="dxa"/>
            <w:vMerge w:val="continue"/>
            <w:vAlign w:val="center"/>
          </w:tcPr>
          <w:p>
            <w:pPr>
              <w:adjustRightInd w:val="0"/>
              <w:snapToGrid w:val="0"/>
              <w:jc w:val="center"/>
              <w:rPr>
                <w:rFonts w:eastAsia="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color w:val="000000"/>
                <w:szCs w:val="21"/>
              </w:rPr>
            </w:pPr>
            <w:r>
              <w:rPr>
                <w:color w:val="000000"/>
                <w:szCs w:val="21"/>
              </w:rPr>
              <w:t>3</w:t>
            </w:r>
          </w:p>
        </w:tc>
        <w:tc>
          <w:tcPr>
            <w:tcW w:w="9555" w:type="dxa"/>
            <w:vAlign w:val="center"/>
          </w:tcPr>
          <w:p>
            <w:pPr>
              <w:adjustRightInd w:val="0"/>
              <w:snapToGrid w:val="0"/>
              <w:jc w:val="left"/>
              <w:rPr>
                <w:color w:val="000000"/>
                <w:szCs w:val="21"/>
              </w:rPr>
            </w:pPr>
            <w:r>
              <w:rPr>
                <w:color w:val="000000"/>
                <w:szCs w:val="21"/>
              </w:rPr>
              <w:t>全面清理行政审批中介服务，无法定依据的行政审批中介服务项目以及收费一律取消。对保留的行政审批中介服务事项实行清单管理，明确办理时限、工作流程、申报条件、收费标准并向社会公开，行政审批中介服务机构的人、财、物与政府脱钩。</w:t>
            </w:r>
          </w:p>
        </w:tc>
        <w:tc>
          <w:tcPr>
            <w:tcW w:w="1985" w:type="dxa"/>
            <w:vMerge w:val="continue"/>
            <w:vAlign w:val="center"/>
          </w:tcPr>
          <w:p>
            <w:pPr>
              <w:adjustRightInd w:val="0"/>
              <w:snapToGrid w:val="0"/>
              <w:jc w:val="center"/>
              <w:rPr>
                <w:rFonts w:eastAsia="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color w:val="000000"/>
                <w:szCs w:val="21"/>
              </w:rPr>
            </w:pPr>
            <w:r>
              <w:rPr>
                <w:color w:val="000000"/>
                <w:szCs w:val="21"/>
              </w:rPr>
              <w:t>4</w:t>
            </w:r>
          </w:p>
        </w:tc>
        <w:tc>
          <w:tcPr>
            <w:tcW w:w="9555" w:type="dxa"/>
            <w:vAlign w:val="center"/>
          </w:tcPr>
          <w:p>
            <w:pPr>
              <w:adjustRightInd w:val="0"/>
              <w:snapToGrid w:val="0"/>
              <w:jc w:val="left"/>
              <w:rPr>
                <w:color w:val="000000"/>
                <w:szCs w:val="21"/>
              </w:rPr>
            </w:pPr>
            <w:r>
              <w:rPr>
                <w:color w:val="000000"/>
                <w:szCs w:val="21"/>
              </w:rPr>
              <w:t>对各类证明事项，凡没有法律法规依据的一律取消。对保留的证明事项实行清单管理，做到“清单之外无证明”。</w:t>
            </w:r>
          </w:p>
        </w:tc>
        <w:tc>
          <w:tcPr>
            <w:tcW w:w="1985" w:type="dxa"/>
            <w:vMerge w:val="continue"/>
            <w:vAlign w:val="center"/>
          </w:tcPr>
          <w:p>
            <w:pPr>
              <w:widowControl/>
              <w:adjustRightInd w:val="0"/>
              <w:snapToGrid w:val="0"/>
              <w:jc w:val="center"/>
              <w:rPr>
                <w:rFonts w:eastAsia="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color w:val="000000"/>
                <w:szCs w:val="21"/>
              </w:rPr>
            </w:pPr>
            <w:r>
              <w:rPr>
                <w:color w:val="000000"/>
                <w:szCs w:val="21"/>
              </w:rPr>
              <w:t>5</w:t>
            </w:r>
          </w:p>
        </w:tc>
        <w:tc>
          <w:tcPr>
            <w:tcW w:w="9555" w:type="dxa"/>
            <w:vAlign w:val="center"/>
          </w:tcPr>
          <w:p>
            <w:pPr>
              <w:adjustRightInd w:val="0"/>
              <w:snapToGrid w:val="0"/>
              <w:jc w:val="left"/>
              <w:rPr>
                <w:color w:val="000000"/>
                <w:szCs w:val="21"/>
              </w:rPr>
            </w:pPr>
            <w:r>
              <w:rPr>
                <w:szCs w:val="21"/>
              </w:rPr>
              <w:t>全面推行“证照分离”、“多证合一”。进一步压缩企业开办时间，承诺办理时限不超过5个工作日，工商、税务、社保等流程逐步实现“一窗受理，并行办理”。</w:t>
            </w:r>
          </w:p>
        </w:tc>
        <w:tc>
          <w:tcPr>
            <w:tcW w:w="1985" w:type="dxa"/>
            <w:vAlign w:val="center"/>
          </w:tcPr>
          <w:p>
            <w:pPr>
              <w:adjustRightInd w:val="0"/>
              <w:snapToGrid w:val="0"/>
              <w:jc w:val="center"/>
              <w:rPr>
                <w:rFonts w:eastAsia="黑体"/>
                <w:color w:val="000000"/>
                <w:szCs w:val="21"/>
              </w:rPr>
            </w:pPr>
            <w:r>
              <w:rPr>
                <w:rFonts w:hAnsi="黑体" w:eastAsia="黑体"/>
                <w:color w:val="000000"/>
                <w:szCs w:val="21"/>
              </w:rPr>
              <w:t>信用监管科</w:t>
            </w:r>
          </w:p>
          <w:p>
            <w:pPr>
              <w:adjustRightInd w:val="0"/>
              <w:snapToGrid w:val="0"/>
              <w:jc w:val="center"/>
              <w:rPr>
                <w:rFonts w:eastAsia="黑体"/>
                <w:color w:val="000000"/>
                <w:szCs w:val="21"/>
              </w:rPr>
            </w:pPr>
            <w:r>
              <w:rPr>
                <w:rFonts w:hAnsi="黑体" w:eastAsia="黑体"/>
                <w:color w:val="000000"/>
                <w:szCs w:val="21"/>
              </w:rPr>
              <w:t>（</w:t>
            </w:r>
            <w:r>
              <w:rPr>
                <w:rFonts w:eastAsia="黑体"/>
                <w:color w:val="000000"/>
                <w:szCs w:val="21"/>
              </w:rPr>
              <w:t>“</w:t>
            </w:r>
            <w:r>
              <w:rPr>
                <w:rFonts w:hAnsi="黑体" w:eastAsia="黑体"/>
                <w:color w:val="000000"/>
                <w:szCs w:val="21"/>
              </w:rPr>
              <w:t>市双随机办</w:t>
            </w:r>
            <w:r>
              <w:rPr>
                <w:rFonts w:eastAsia="黑体"/>
                <w:color w:val="000000"/>
                <w:szCs w:val="21"/>
              </w:rPr>
              <w:t>”</w:t>
            </w:r>
            <w:r>
              <w:rPr>
                <w:rFonts w:hAnsi="黑体" w:eastAsia="黑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color w:val="000000"/>
                <w:szCs w:val="21"/>
              </w:rPr>
            </w:pPr>
            <w:r>
              <w:rPr>
                <w:color w:val="000000"/>
                <w:szCs w:val="21"/>
              </w:rPr>
              <w:t>6</w:t>
            </w:r>
          </w:p>
        </w:tc>
        <w:tc>
          <w:tcPr>
            <w:tcW w:w="9555" w:type="dxa"/>
            <w:vAlign w:val="center"/>
          </w:tcPr>
          <w:p>
            <w:pPr>
              <w:adjustRightInd w:val="0"/>
              <w:snapToGrid w:val="0"/>
              <w:jc w:val="left"/>
              <w:rPr>
                <w:color w:val="000000"/>
                <w:szCs w:val="21"/>
              </w:rPr>
            </w:pPr>
            <w:r>
              <w:rPr>
                <w:color w:val="000000"/>
                <w:szCs w:val="21"/>
              </w:rPr>
              <w:t>政务服务重点领域和高频事项基本实现“一网、一门、一次”。政务服务事项网上可办率不低于80%；除对场地有特殊要求的事项外，政务服务事项进驻政务服务机构基本实现“应进必进”。且80%以上实现“一窗”分类受理，高频事项实现“最多跑一次”。</w:t>
            </w:r>
          </w:p>
        </w:tc>
        <w:tc>
          <w:tcPr>
            <w:tcW w:w="1985" w:type="dxa"/>
            <w:vMerge w:val="restart"/>
            <w:vAlign w:val="center"/>
          </w:tcPr>
          <w:p>
            <w:pPr>
              <w:adjustRightInd w:val="0"/>
              <w:snapToGrid w:val="0"/>
              <w:jc w:val="center"/>
              <w:rPr>
                <w:rFonts w:eastAsia="黑体"/>
                <w:color w:val="000000"/>
                <w:szCs w:val="21"/>
              </w:rPr>
            </w:pPr>
            <w:r>
              <w:rPr>
                <w:rFonts w:hAnsi="黑体" w:eastAsia="黑体"/>
                <w:color w:val="000000"/>
                <w:szCs w:val="21"/>
              </w:rPr>
              <w:t>法规稽查科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90" w:type="dxa"/>
            <w:vMerge w:val="continue"/>
          </w:tcPr>
          <w:p>
            <w:pPr>
              <w:widowControl/>
              <w:adjustRightInd w:val="0"/>
              <w:snapToGrid w:val="0"/>
              <w:rPr>
                <w:rFonts w:eastAsia="黑体"/>
                <w:szCs w:val="21"/>
              </w:rPr>
            </w:pPr>
          </w:p>
        </w:tc>
        <w:tc>
          <w:tcPr>
            <w:tcW w:w="1400" w:type="dxa"/>
            <w:vMerge w:val="restart"/>
            <w:vAlign w:val="center"/>
          </w:tcPr>
          <w:p>
            <w:pPr>
              <w:widowControl/>
              <w:adjustRightInd w:val="0"/>
              <w:snapToGrid w:val="0"/>
              <w:rPr>
                <w:rFonts w:eastAsia="黑体"/>
                <w:szCs w:val="21"/>
              </w:rPr>
            </w:pPr>
            <w:r>
              <w:rPr>
                <w:color w:val="000000"/>
                <w:szCs w:val="21"/>
              </w:rPr>
              <w:t>2.落实权责清单、负面清单制度并实行动态管理。</w:t>
            </w:r>
          </w:p>
        </w:tc>
        <w:tc>
          <w:tcPr>
            <w:tcW w:w="546" w:type="dxa"/>
            <w:vAlign w:val="center"/>
          </w:tcPr>
          <w:p>
            <w:pPr>
              <w:adjustRightInd w:val="0"/>
              <w:snapToGrid w:val="0"/>
              <w:jc w:val="center"/>
              <w:rPr>
                <w:color w:val="000000"/>
                <w:szCs w:val="21"/>
              </w:rPr>
            </w:pPr>
            <w:r>
              <w:rPr>
                <w:color w:val="000000"/>
                <w:szCs w:val="21"/>
              </w:rPr>
              <w:t>7</w:t>
            </w:r>
          </w:p>
        </w:tc>
        <w:tc>
          <w:tcPr>
            <w:tcW w:w="9555" w:type="dxa"/>
            <w:vAlign w:val="center"/>
          </w:tcPr>
          <w:p>
            <w:pPr>
              <w:adjustRightInd w:val="0"/>
              <w:snapToGrid w:val="0"/>
              <w:jc w:val="left"/>
              <w:rPr>
                <w:color w:val="000000"/>
                <w:szCs w:val="21"/>
              </w:rPr>
            </w:pPr>
            <w:r>
              <w:rPr>
                <w:color w:val="000000"/>
                <w:szCs w:val="21"/>
              </w:rPr>
              <w:t>编制并对外公布权责清单、公共服务事项清单，逐一明确法律依据、实施主体、监督方式、责任方式等相关事项，并根据法律法规的变化实行动态调整。</w:t>
            </w:r>
          </w:p>
        </w:tc>
        <w:tc>
          <w:tcPr>
            <w:tcW w:w="1985" w:type="dxa"/>
            <w:vMerge w:val="continue"/>
            <w:vAlign w:val="center"/>
          </w:tcPr>
          <w:p>
            <w:pPr>
              <w:adjustRightInd w:val="0"/>
              <w:snapToGrid w:val="0"/>
              <w:jc w:val="center"/>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rFonts w:eastAsia="仿宋_GB2312"/>
                <w:color w:val="000000"/>
                <w:szCs w:val="21"/>
              </w:rPr>
            </w:pPr>
            <w:r>
              <w:rPr>
                <w:rFonts w:eastAsia="仿宋_GB2312"/>
                <w:color w:val="000000"/>
                <w:szCs w:val="21"/>
              </w:rPr>
              <w:t>8</w:t>
            </w:r>
          </w:p>
        </w:tc>
        <w:tc>
          <w:tcPr>
            <w:tcW w:w="9555" w:type="dxa"/>
            <w:vAlign w:val="center"/>
          </w:tcPr>
          <w:p>
            <w:pPr>
              <w:adjustRightInd w:val="0"/>
              <w:snapToGrid w:val="0"/>
              <w:jc w:val="left"/>
              <w:rPr>
                <w:color w:val="000000"/>
                <w:szCs w:val="21"/>
              </w:rPr>
            </w:pPr>
            <w:r>
              <w:rPr>
                <w:color w:val="000000"/>
                <w:szCs w:val="21"/>
              </w:rPr>
              <w:t>全面落实并严格执行负面清单制度。清单之外的行业、领域和业务等，各类市场主体皆可依法平等进入。</w:t>
            </w:r>
          </w:p>
        </w:tc>
        <w:tc>
          <w:tcPr>
            <w:tcW w:w="1985" w:type="dxa"/>
            <w:vMerge w:val="continue"/>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color w:val="000000"/>
                <w:szCs w:val="21"/>
              </w:rPr>
            </w:pPr>
            <w:r>
              <w:rPr>
                <w:color w:val="000000"/>
                <w:szCs w:val="21"/>
              </w:rPr>
              <w:t>9</w:t>
            </w:r>
          </w:p>
        </w:tc>
        <w:tc>
          <w:tcPr>
            <w:tcW w:w="9555" w:type="dxa"/>
            <w:vAlign w:val="center"/>
          </w:tcPr>
          <w:p>
            <w:pPr>
              <w:adjustRightInd w:val="0"/>
              <w:snapToGrid w:val="0"/>
              <w:jc w:val="left"/>
              <w:rPr>
                <w:color w:val="000000"/>
                <w:szCs w:val="21"/>
              </w:rPr>
            </w:pPr>
            <w:r>
              <w:rPr>
                <w:color w:val="000000"/>
                <w:szCs w:val="21"/>
              </w:rPr>
              <w:t>全面实施行政事业性收费和政府性基金清单制度，清单之外的一律取消。全面清理整顿部门下属事业单位、行业协会商会收费，乱收费举报投诉查处机制建立健全。</w:t>
            </w:r>
          </w:p>
        </w:tc>
        <w:tc>
          <w:tcPr>
            <w:tcW w:w="1985" w:type="dxa"/>
            <w:vAlign w:val="center"/>
          </w:tcPr>
          <w:p>
            <w:pPr>
              <w:adjustRightInd w:val="0"/>
              <w:snapToGrid w:val="0"/>
              <w:jc w:val="center"/>
              <w:rPr>
                <w:rFonts w:eastAsia="黑体"/>
                <w:color w:val="000000"/>
                <w:kern w:val="0"/>
                <w:szCs w:val="21"/>
              </w:rPr>
            </w:pPr>
            <w:r>
              <w:rPr>
                <w:rFonts w:hAnsi="黑体" w:eastAsia="黑体"/>
                <w:color w:val="000000"/>
                <w:kern w:val="0"/>
                <w:szCs w:val="21"/>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690" w:type="dxa"/>
            <w:vMerge w:val="continue"/>
          </w:tcPr>
          <w:p>
            <w:pPr>
              <w:widowControl/>
              <w:adjustRightInd w:val="0"/>
              <w:snapToGrid w:val="0"/>
              <w:rPr>
                <w:rFonts w:eastAsia="黑体"/>
                <w:szCs w:val="21"/>
              </w:rPr>
            </w:pPr>
          </w:p>
        </w:tc>
        <w:tc>
          <w:tcPr>
            <w:tcW w:w="1400" w:type="dxa"/>
            <w:vMerge w:val="restart"/>
            <w:vAlign w:val="center"/>
          </w:tcPr>
          <w:p>
            <w:pPr>
              <w:widowControl/>
              <w:adjustRightInd w:val="0"/>
              <w:snapToGrid w:val="0"/>
              <w:rPr>
                <w:color w:val="000000"/>
                <w:szCs w:val="21"/>
              </w:rPr>
            </w:pPr>
            <w:r>
              <w:rPr>
                <w:color w:val="000000"/>
                <w:szCs w:val="21"/>
              </w:rPr>
              <w:t>3.优化政府组织结构。</w:t>
            </w:r>
          </w:p>
        </w:tc>
        <w:tc>
          <w:tcPr>
            <w:tcW w:w="546" w:type="dxa"/>
            <w:vAlign w:val="center"/>
          </w:tcPr>
          <w:p>
            <w:pPr>
              <w:adjustRightInd w:val="0"/>
              <w:snapToGrid w:val="0"/>
              <w:jc w:val="center"/>
              <w:rPr>
                <w:color w:val="000000"/>
                <w:szCs w:val="21"/>
              </w:rPr>
            </w:pPr>
            <w:r>
              <w:rPr>
                <w:color w:val="000000"/>
                <w:szCs w:val="21"/>
              </w:rPr>
              <w:t>10</w:t>
            </w:r>
          </w:p>
        </w:tc>
        <w:tc>
          <w:tcPr>
            <w:tcW w:w="9555" w:type="dxa"/>
            <w:vAlign w:val="center"/>
          </w:tcPr>
          <w:p>
            <w:pPr>
              <w:adjustRightInd w:val="0"/>
              <w:snapToGrid w:val="0"/>
              <w:jc w:val="left"/>
              <w:rPr>
                <w:color w:val="000000"/>
                <w:szCs w:val="21"/>
              </w:rPr>
            </w:pPr>
            <w:r>
              <w:rPr>
                <w:color w:val="000000"/>
                <w:szCs w:val="21"/>
              </w:rPr>
              <w:t>部门及其内设机构、下属机构的设立、撤销或者调整，均遵守法定权限和程序，并进行合法性审核，不在限额外设置机构。不擅自增加编制种类，不突破总量增加编制。</w:t>
            </w:r>
          </w:p>
        </w:tc>
        <w:tc>
          <w:tcPr>
            <w:tcW w:w="1985" w:type="dxa"/>
            <w:vMerge w:val="restart"/>
            <w:vAlign w:val="center"/>
          </w:tcPr>
          <w:p>
            <w:pPr>
              <w:widowControl/>
              <w:adjustRightInd w:val="0"/>
              <w:snapToGrid w:val="0"/>
              <w:jc w:val="center"/>
              <w:rPr>
                <w:rFonts w:eastAsia="黑体"/>
                <w:color w:val="000000"/>
                <w:kern w:val="0"/>
                <w:szCs w:val="21"/>
              </w:rPr>
            </w:pPr>
            <w:r>
              <w:rPr>
                <w:rFonts w:hAnsi="黑体" w:eastAsia="黑体"/>
                <w:color w:val="000000"/>
                <w:kern w:val="0"/>
                <w:szCs w:val="21"/>
              </w:rPr>
              <w:t>人事教育科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color w:val="000000"/>
                <w:szCs w:val="21"/>
              </w:rPr>
            </w:pPr>
            <w:r>
              <w:rPr>
                <w:color w:val="000000"/>
                <w:szCs w:val="21"/>
              </w:rPr>
              <w:t>11</w:t>
            </w:r>
          </w:p>
        </w:tc>
        <w:tc>
          <w:tcPr>
            <w:tcW w:w="9555" w:type="dxa"/>
            <w:vAlign w:val="center"/>
          </w:tcPr>
          <w:p>
            <w:pPr>
              <w:adjustRightInd w:val="0"/>
              <w:snapToGrid w:val="0"/>
              <w:jc w:val="left"/>
              <w:rPr>
                <w:color w:val="000000"/>
                <w:szCs w:val="21"/>
              </w:rPr>
            </w:pPr>
            <w:r>
              <w:rPr>
                <w:color w:val="000000"/>
                <w:szCs w:val="21"/>
              </w:rPr>
              <w:t>推进政府事权规范化建设。一类事项原则上由一个部门统筹，一件事情原则上由一个部门负责。</w:t>
            </w:r>
          </w:p>
        </w:tc>
        <w:tc>
          <w:tcPr>
            <w:tcW w:w="1985" w:type="dxa"/>
            <w:vMerge w:val="continue"/>
            <w:vAlign w:val="center"/>
          </w:tcPr>
          <w:p>
            <w:pPr>
              <w:widowControl/>
              <w:adjustRightInd w:val="0"/>
              <w:snapToGrid w:val="0"/>
              <w:jc w:val="center"/>
              <w:rPr>
                <w:rFonts w:eastAsia="黑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Align w:val="center"/>
          </w:tcPr>
          <w:p>
            <w:pPr>
              <w:adjustRightInd w:val="0"/>
              <w:snapToGrid w:val="0"/>
              <w:jc w:val="center"/>
              <w:rPr>
                <w:rFonts w:eastAsia="黑体"/>
                <w:color w:val="000000"/>
                <w:szCs w:val="21"/>
              </w:rPr>
            </w:pPr>
            <w:r>
              <w:rPr>
                <w:rFonts w:eastAsia="黑体"/>
                <w:color w:val="000000"/>
                <w:szCs w:val="21"/>
              </w:rPr>
              <w:t>一级</w:t>
            </w:r>
          </w:p>
          <w:p>
            <w:pPr>
              <w:adjustRightInd w:val="0"/>
              <w:snapToGrid w:val="0"/>
              <w:jc w:val="center"/>
              <w:rPr>
                <w:rFonts w:eastAsia="黑体"/>
                <w:color w:val="000000"/>
                <w:szCs w:val="21"/>
              </w:rPr>
            </w:pPr>
            <w:r>
              <w:rPr>
                <w:rFonts w:eastAsia="黑体"/>
                <w:color w:val="000000"/>
                <w:szCs w:val="21"/>
              </w:rPr>
              <w:t>指标</w:t>
            </w:r>
          </w:p>
        </w:tc>
        <w:tc>
          <w:tcPr>
            <w:tcW w:w="1400" w:type="dxa"/>
            <w:vAlign w:val="center"/>
          </w:tcPr>
          <w:p>
            <w:pPr>
              <w:adjustRightInd w:val="0"/>
              <w:snapToGrid w:val="0"/>
              <w:jc w:val="center"/>
              <w:rPr>
                <w:rFonts w:eastAsia="黑体"/>
                <w:color w:val="000000"/>
                <w:szCs w:val="21"/>
              </w:rPr>
            </w:pPr>
            <w:r>
              <w:rPr>
                <w:rFonts w:eastAsia="黑体"/>
                <w:color w:val="000000"/>
                <w:szCs w:val="21"/>
              </w:rPr>
              <w:t>二级指标</w:t>
            </w:r>
          </w:p>
        </w:tc>
        <w:tc>
          <w:tcPr>
            <w:tcW w:w="546" w:type="dxa"/>
            <w:vAlign w:val="center"/>
          </w:tcPr>
          <w:p>
            <w:pPr>
              <w:adjustRightInd w:val="0"/>
              <w:snapToGrid w:val="0"/>
              <w:jc w:val="center"/>
              <w:rPr>
                <w:rFonts w:eastAsia="黑体"/>
                <w:color w:val="000000"/>
                <w:szCs w:val="21"/>
              </w:rPr>
            </w:pPr>
            <w:r>
              <w:rPr>
                <w:rFonts w:eastAsia="黑体"/>
                <w:color w:val="000000"/>
                <w:szCs w:val="21"/>
              </w:rPr>
              <w:t>序号</w:t>
            </w:r>
          </w:p>
        </w:tc>
        <w:tc>
          <w:tcPr>
            <w:tcW w:w="9555" w:type="dxa"/>
            <w:vAlign w:val="center"/>
          </w:tcPr>
          <w:p>
            <w:pPr>
              <w:adjustRightInd w:val="0"/>
              <w:snapToGrid w:val="0"/>
              <w:jc w:val="center"/>
              <w:rPr>
                <w:rFonts w:eastAsia="黑体"/>
                <w:color w:val="000000"/>
                <w:szCs w:val="21"/>
              </w:rPr>
            </w:pPr>
            <w:r>
              <w:rPr>
                <w:rFonts w:eastAsia="黑体"/>
                <w:color w:val="000000"/>
                <w:szCs w:val="21"/>
              </w:rPr>
              <w:t>三级指标</w:t>
            </w:r>
          </w:p>
        </w:tc>
        <w:tc>
          <w:tcPr>
            <w:tcW w:w="1985" w:type="dxa"/>
            <w:vAlign w:val="center"/>
          </w:tcPr>
          <w:p>
            <w:pPr>
              <w:adjustRightInd w:val="0"/>
              <w:snapToGrid w:val="0"/>
              <w:jc w:val="center"/>
              <w:rPr>
                <w:rFonts w:eastAsia="黑体"/>
                <w:color w:val="000000"/>
                <w:szCs w:val="21"/>
              </w:rPr>
            </w:pPr>
            <w:r>
              <w:rPr>
                <w:rFonts w:eastAsia="黑体"/>
                <w:color w:val="000000"/>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690" w:type="dxa"/>
            <w:vMerge w:val="restart"/>
            <w:vAlign w:val="center"/>
          </w:tcPr>
          <w:p>
            <w:pPr>
              <w:widowControl/>
              <w:adjustRightInd w:val="0"/>
              <w:snapToGrid w:val="0"/>
              <w:jc w:val="center"/>
              <w:rPr>
                <w:rFonts w:eastAsia="黑体"/>
                <w:color w:val="000000"/>
                <w:szCs w:val="21"/>
              </w:rPr>
            </w:pPr>
            <w:r>
              <w:rPr>
                <w:rFonts w:hAnsi="黑体" w:eastAsia="黑体"/>
                <w:color w:val="000000"/>
                <w:szCs w:val="21"/>
              </w:rPr>
              <w:t>一、</w:t>
            </w:r>
          </w:p>
          <w:p>
            <w:pPr>
              <w:widowControl/>
              <w:adjustRightInd w:val="0"/>
              <w:snapToGrid w:val="0"/>
              <w:jc w:val="center"/>
              <w:rPr>
                <w:color w:val="000000"/>
                <w:szCs w:val="21"/>
              </w:rPr>
            </w:pPr>
            <w:r>
              <w:rPr>
                <w:rFonts w:hAnsi="黑体" w:eastAsia="黑体"/>
                <w:color w:val="000000"/>
                <w:szCs w:val="21"/>
              </w:rPr>
              <w:t>政府职能依法全面履行</w:t>
            </w:r>
          </w:p>
        </w:tc>
        <w:tc>
          <w:tcPr>
            <w:tcW w:w="1400" w:type="dxa"/>
            <w:vMerge w:val="restart"/>
            <w:vAlign w:val="center"/>
          </w:tcPr>
          <w:p>
            <w:pPr>
              <w:adjustRightInd w:val="0"/>
              <w:snapToGrid w:val="0"/>
              <w:rPr>
                <w:color w:val="000000"/>
                <w:szCs w:val="21"/>
              </w:rPr>
            </w:pPr>
            <w:r>
              <w:rPr>
                <w:color w:val="000000"/>
                <w:szCs w:val="21"/>
              </w:rPr>
              <w:t>4.加强事中事后监管。</w:t>
            </w:r>
          </w:p>
        </w:tc>
        <w:tc>
          <w:tcPr>
            <w:tcW w:w="546" w:type="dxa"/>
            <w:vAlign w:val="center"/>
          </w:tcPr>
          <w:p>
            <w:pPr>
              <w:adjustRightInd w:val="0"/>
              <w:snapToGrid w:val="0"/>
              <w:jc w:val="center"/>
              <w:rPr>
                <w:color w:val="000000"/>
                <w:szCs w:val="21"/>
              </w:rPr>
            </w:pPr>
            <w:r>
              <w:rPr>
                <w:color w:val="000000"/>
                <w:szCs w:val="21"/>
              </w:rPr>
              <w:t>12</w:t>
            </w:r>
          </w:p>
        </w:tc>
        <w:tc>
          <w:tcPr>
            <w:tcW w:w="9555" w:type="dxa"/>
            <w:vAlign w:val="center"/>
          </w:tcPr>
          <w:p>
            <w:pPr>
              <w:adjustRightInd w:val="0"/>
              <w:snapToGrid w:val="0"/>
              <w:jc w:val="left"/>
              <w:rPr>
                <w:color w:val="000000"/>
                <w:szCs w:val="21"/>
              </w:rPr>
            </w:pPr>
            <w:r>
              <w:rPr>
                <w:szCs w:val="21"/>
              </w:rPr>
              <w:t>全面推行“双随机、一公开”监管。推进跨部门联合监管和“互联网+监管”，努力实现职能部门综合监管、智慧监管。</w:t>
            </w:r>
          </w:p>
        </w:tc>
        <w:tc>
          <w:tcPr>
            <w:tcW w:w="1985" w:type="dxa"/>
            <w:vMerge w:val="restart"/>
            <w:vAlign w:val="center"/>
          </w:tcPr>
          <w:p>
            <w:pPr>
              <w:widowControl/>
              <w:adjustRightInd w:val="0"/>
              <w:snapToGrid w:val="0"/>
              <w:jc w:val="center"/>
              <w:rPr>
                <w:rFonts w:eastAsia="黑体"/>
                <w:szCs w:val="21"/>
              </w:rPr>
            </w:pPr>
            <w:r>
              <w:rPr>
                <w:rFonts w:hAnsi="黑体" w:eastAsia="黑体"/>
                <w:szCs w:val="21"/>
              </w:rPr>
              <w:t>信用监管科</w:t>
            </w:r>
          </w:p>
          <w:p>
            <w:pPr>
              <w:widowControl/>
              <w:adjustRightInd w:val="0"/>
              <w:snapToGrid w:val="0"/>
              <w:jc w:val="center"/>
              <w:rPr>
                <w:rFonts w:eastAsia="黑体"/>
                <w:szCs w:val="21"/>
              </w:rPr>
            </w:pPr>
            <w:r>
              <w:rPr>
                <w:rFonts w:hAnsi="黑体" w:eastAsia="黑体"/>
                <w:color w:val="000000"/>
                <w:szCs w:val="21"/>
              </w:rPr>
              <w:t>（</w:t>
            </w:r>
            <w:r>
              <w:rPr>
                <w:rFonts w:eastAsia="黑体"/>
                <w:color w:val="000000"/>
                <w:szCs w:val="21"/>
              </w:rPr>
              <w:t>“</w:t>
            </w:r>
            <w:r>
              <w:rPr>
                <w:rFonts w:hAnsi="黑体" w:eastAsia="黑体"/>
                <w:color w:val="000000"/>
                <w:szCs w:val="21"/>
              </w:rPr>
              <w:t>市双随机办</w:t>
            </w:r>
            <w:r>
              <w:rPr>
                <w:rFonts w:eastAsia="黑体"/>
                <w:color w:val="000000"/>
                <w:szCs w:val="21"/>
              </w:rPr>
              <w:t>”</w:t>
            </w:r>
            <w:r>
              <w:rPr>
                <w:rFonts w:hAnsi="黑体" w:eastAsia="黑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13</w:t>
            </w:r>
          </w:p>
        </w:tc>
        <w:tc>
          <w:tcPr>
            <w:tcW w:w="9555" w:type="dxa"/>
            <w:vAlign w:val="center"/>
          </w:tcPr>
          <w:p>
            <w:pPr>
              <w:adjustRightInd w:val="0"/>
              <w:snapToGrid w:val="0"/>
              <w:jc w:val="left"/>
              <w:rPr>
                <w:szCs w:val="21"/>
              </w:rPr>
            </w:pPr>
            <w:r>
              <w:rPr>
                <w:szCs w:val="21"/>
              </w:rPr>
              <w:t>加强信用监管，推进涉企信息归集共享，严格依法科学界定守信和失信行为，实行守信联合激励和失信联合惩戒机制，做到市场主体“一处违法、处处受限”。</w:t>
            </w:r>
          </w:p>
        </w:tc>
        <w:tc>
          <w:tcPr>
            <w:tcW w:w="1985" w:type="dxa"/>
            <w:vMerge w:val="continue"/>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690" w:type="dxa"/>
            <w:vMerge w:val="continue"/>
          </w:tcPr>
          <w:p>
            <w:pPr>
              <w:widowControl/>
              <w:adjustRightInd w:val="0"/>
              <w:snapToGrid w:val="0"/>
              <w:rPr>
                <w:rFonts w:eastAsia="黑体"/>
                <w:szCs w:val="21"/>
              </w:rPr>
            </w:pPr>
          </w:p>
        </w:tc>
        <w:tc>
          <w:tcPr>
            <w:tcW w:w="1400" w:type="dxa"/>
            <w:vMerge w:val="restart"/>
            <w:vAlign w:val="center"/>
          </w:tcPr>
          <w:p>
            <w:pPr>
              <w:widowControl/>
              <w:adjustRightInd w:val="0"/>
              <w:snapToGrid w:val="0"/>
              <w:rPr>
                <w:color w:val="000000"/>
                <w:szCs w:val="21"/>
              </w:rPr>
            </w:pPr>
            <w:r>
              <w:rPr>
                <w:color w:val="000000"/>
                <w:szCs w:val="21"/>
              </w:rPr>
              <w:t>5.优化法治化营商环境。</w:t>
            </w:r>
          </w:p>
        </w:tc>
        <w:tc>
          <w:tcPr>
            <w:tcW w:w="546" w:type="dxa"/>
            <w:vAlign w:val="center"/>
          </w:tcPr>
          <w:p>
            <w:pPr>
              <w:adjustRightInd w:val="0"/>
              <w:snapToGrid w:val="0"/>
              <w:jc w:val="center"/>
              <w:rPr>
                <w:color w:val="000000"/>
                <w:szCs w:val="21"/>
              </w:rPr>
            </w:pPr>
            <w:r>
              <w:rPr>
                <w:color w:val="000000"/>
                <w:szCs w:val="21"/>
              </w:rPr>
              <w:t>14</w:t>
            </w:r>
          </w:p>
        </w:tc>
        <w:tc>
          <w:tcPr>
            <w:tcW w:w="9555" w:type="dxa"/>
            <w:vAlign w:val="center"/>
          </w:tcPr>
          <w:p>
            <w:pPr>
              <w:adjustRightInd w:val="0"/>
              <w:snapToGrid w:val="0"/>
              <w:jc w:val="left"/>
              <w:rPr>
                <w:color w:val="000000"/>
                <w:szCs w:val="21"/>
              </w:rPr>
            </w:pPr>
            <w:r>
              <w:rPr>
                <w:szCs w:val="21"/>
              </w:rPr>
              <w:t>全面清理废除地方保护、指定交易、市场壁垒等妨碍统一市场公平竞争的各种规定和做法，特别是对非公有制经济各种形式的不合理规定。制定涉及市场主体经济活动的地方政府规章、行政规范性文件和其他政策措施时，进行公平竞争审查，防止排除、限制市场竞争的举措，不存在未经公平竞争审查的文件。</w:t>
            </w:r>
          </w:p>
        </w:tc>
        <w:tc>
          <w:tcPr>
            <w:tcW w:w="1985" w:type="dxa"/>
            <w:vAlign w:val="center"/>
          </w:tcPr>
          <w:p>
            <w:pPr>
              <w:adjustRightInd w:val="0"/>
              <w:snapToGrid w:val="0"/>
              <w:jc w:val="center"/>
              <w:rPr>
                <w:rFonts w:eastAsia="黑体"/>
                <w:szCs w:val="21"/>
              </w:rPr>
            </w:pPr>
            <w:r>
              <w:rPr>
                <w:rFonts w:hAnsi="黑体" w:eastAsia="黑体"/>
                <w:szCs w:val="21"/>
              </w:rPr>
              <w:t>价监竞争科竞价科</w:t>
            </w:r>
          </w:p>
          <w:p>
            <w:pPr>
              <w:adjustRightInd w:val="0"/>
              <w:snapToGrid w:val="0"/>
              <w:jc w:val="center"/>
              <w:rPr>
                <w:rFonts w:eastAsia="黑体"/>
                <w:szCs w:val="21"/>
              </w:rPr>
            </w:pPr>
            <w:r>
              <w:rPr>
                <w:rFonts w:hAnsi="黑体" w:eastAsia="黑体"/>
                <w:color w:val="000000"/>
                <w:szCs w:val="21"/>
              </w:rPr>
              <w:t>（市公平竞争审查联席办）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color w:val="000000"/>
                <w:szCs w:val="21"/>
              </w:rPr>
            </w:pPr>
            <w:r>
              <w:rPr>
                <w:color w:val="000000"/>
                <w:szCs w:val="21"/>
              </w:rPr>
              <w:t>15</w:t>
            </w:r>
          </w:p>
        </w:tc>
        <w:tc>
          <w:tcPr>
            <w:tcW w:w="9555" w:type="dxa"/>
            <w:vAlign w:val="center"/>
          </w:tcPr>
          <w:p>
            <w:pPr>
              <w:adjustRightInd w:val="0"/>
              <w:snapToGrid w:val="0"/>
              <w:jc w:val="left"/>
              <w:rPr>
                <w:color w:val="000000"/>
                <w:szCs w:val="21"/>
              </w:rPr>
            </w:pPr>
            <w:r>
              <w:rPr>
                <w:color w:val="000000"/>
                <w:szCs w:val="21"/>
              </w:rPr>
              <w:t>依法慎重决定是否采取相关强制措施。确需采取查封、扣押、冻结等措施的，严格按照法定程序进行。大力宣传党和国家平等保护各种所有制经济产权的方针政策和法律法规，使平等、全面、依法保护观念深入人心。</w:t>
            </w:r>
          </w:p>
        </w:tc>
        <w:tc>
          <w:tcPr>
            <w:tcW w:w="1985" w:type="dxa"/>
            <w:vAlign w:val="center"/>
          </w:tcPr>
          <w:p>
            <w:pPr>
              <w:adjustRightInd w:val="0"/>
              <w:snapToGrid w:val="0"/>
              <w:jc w:val="center"/>
              <w:rPr>
                <w:rFonts w:eastAsia="黑体"/>
                <w:szCs w:val="21"/>
              </w:rPr>
            </w:pPr>
            <w:r>
              <w:rPr>
                <w:rFonts w:hAnsi="黑体" w:eastAsia="黑体"/>
                <w:szCs w:val="21"/>
              </w:rPr>
              <w:t>市市场监管综合执法支队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color w:val="000000"/>
                <w:szCs w:val="21"/>
              </w:rPr>
            </w:pPr>
            <w:r>
              <w:rPr>
                <w:color w:val="000000"/>
                <w:szCs w:val="21"/>
              </w:rPr>
              <w:t>16</w:t>
            </w:r>
          </w:p>
        </w:tc>
        <w:tc>
          <w:tcPr>
            <w:tcW w:w="9555" w:type="dxa"/>
            <w:vAlign w:val="center"/>
          </w:tcPr>
          <w:p>
            <w:pPr>
              <w:adjustRightInd w:val="0"/>
              <w:snapToGrid w:val="0"/>
              <w:jc w:val="left"/>
              <w:rPr>
                <w:color w:val="000000"/>
                <w:szCs w:val="21"/>
              </w:rPr>
            </w:pPr>
            <w:r>
              <w:rPr>
                <w:color w:val="000000"/>
                <w:szCs w:val="21"/>
              </w:rPr>
              <w:t>全面推进政务诚信建设，严格兑现向行政相对人依法作出的政策承诺。认真履行在招商引资、政府与社会资本合作等活动中与投资主体签订的各类合同，不存在以政府换届、领导人员更替等理由违约毁约的情形。</w:t>
            </w:r>
          </w:p>
        </w:tc>
        <w:tc>
          <w:tcPr>
            <w:tcW w:w="1985" w:type="dxa"/>
            <w:vAlign w:val="center"/>
          </w:tcPr>
          <w:p>
            <w:pPr>
              <w:widowControl/>
              <w:adjustRightInd w:val="0"/>
              <w:snapToGrid w:val="0"/>
              <w:jc w:val="center"/>
              <w:rPr>
                <w:rFonts w:eastAsia="黑体"/>
                <w:szCs w:val="21"/>
              </w:rPr>
            </w:pPr>
            <w:r>
              <w:rPr>
                <w:rFonts w:hAnsi="黑体" w:eastAsia="黑体"/>
                <w:szCs w:val="21"/>
              </w:rPr>
              <w:t>信用监管科</w:t>
            </w:r>
          </w:p>
          <w:p>
            <w:pPr>
              <w:widowControl/>
              <w:adjustRightInd w:val="0"/>
              <w:snapToGrid w:val="0"/>
              <w:jc w:val="center"/>
              <w:rPr>
                <w:rFonts w:eastAsia="黑体"/>
                <w:szCs w:val="21"/>
              </w:rPr>
            </w:pPr>
            <w:r>
              <w:rPr>
                <w:rFonts w:hAnsi="黑体" w:eastAsia="黑体"/>
                <w:color w:val="000000"/>
                <w:szCs w:val="21"/>
              </w:rPr>
              <w:t>（</w:t>
            </w:r>
            <w:r>
              <w:rPr>
                <w:rFonts w:eastAsia="黑体"/>
                <w:color w:val="000000"/>
                <w:szCs w:val="21"/>
              </w:rPr>
              <w:t>“</w:t>
            </w:r>
            <w:r>
              <w:rPr>
                <w:rFonts w:hAnsi="黑体" w:eastAsia="黑体"/>
                <w:color w:val="000000"/>
                <w:szCs w:val="21"/>
              </w:rPr>
              <w:t>市双随机办</w:t>
            </w:r>
            <w:r>
              <w:rPr>
                <w:rFonts w:eastAsia="黑体"/>
                <w:color w:val="000000"/>
                <w:szCs w:val="21"/>
              </w:rPr>
              <w:t>”</w:t>
            </w:r>
            <w:r>
              <w:rPr>
                <w:rFonts w:hAnsi="黑体" w:eastAsia="黑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color w:val="000000"/>
                <w:szCs w:val="21"/>
              </w:rPr>
            </w:pPr>
            <w:r>
              <w:rPr>
                <w:color w:val="000000"/>
                <w:szCs w:val="21"/>
              </w:rPr>
              <w:t>17</w:t>
            </w:r>
          </w:p>
        </w:tc>
        <w:tc>
          <w:tcPr>
            <w:tcW w:w="9555" w:type="dxa"/>
            <w:vAlign w:val="center"/>
          </w:tcPr>
          <w:p>
            <w:pPr>
              <w:adjustRightInd w:val="0"/>
              <w:snapToGrid w:val="0"/>
              <w:jc w:val="left"/>
              <w:rPr>
                <w:color w:val="000000"/>
                <w:szCs w:val="21"/>
              </w:rPr>
            </w:pPr>
            <w:r>
              <w:rPr>
                <w:color w:val="000000"/>
                <w:szCs w:val="21"/>
              </w:rPr>
              <w:t>对因政府规划调整、政策变化造成企业合法权益受损的依法依规进行补偿。对因国家利益、公共利益或者其他法定事由需要改变政府承诺和合同约定的，严格依照法定权限和程序进行，并对企业和投资人因此而受到的财产损失依法予以补偿。</w:t>
            </w:r>
          </w:p>
        </w:tc>
        <w:tc>
          <w:tcPr>
            <w:tcW w:w="1985" w:type="dxa"/>
            <w:vAlign w:val="center"/>
          </w:tcPr>
          <w:p>
            <w:pPr>
              <w:widowControl/>
              <w:adjustRightInd w:val="0"/>
              <w:snapToGrid w:val="0"/>
              <w:jc w:val="center"/>
              <w:rPr>
                <w:rFonts w:eastAsia="黑体"/>
                <w:szCs w:val="21"/>
              </w:rPr>
            </w:pPr>
            <w:r>
              <w:rPr>
                <w:rFonts w:hAnsi="黑体" w:eastAsia="黑体"/>
                <w:szCs w:val="21"/>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color w:val="000000"/>
                <w:szCs w:val="21"/>
              </w:rPr>
            </w:pPr>
            <w:r>
              <w:rPr>
                <w:color w:val="000000"/>
                <w:szCs w:val="21"/>
              </w:rPr>
              <w:t>18</w:t>
            </w:r>
          </w:p>
        </w:tc>
        <w:tc>
          <w:tcPr>
            <w:tcW w:w="9555" w:type="dxa"/>
            <w:vAlign w:val="center"/>
          </w:tcPr>
          <w:p>
            <w:pPr>
              <w:adjustRightInd w:val="0"/>
              <w:snapToGrid w:val="0"/>
              <w:jc w:val="left"/>
              <w:rPr>
                <w:szCs w:val="21"/>
              </w:rPr>
            </w:pPr>
            <w:r>
              <w:rPr>
                <w:szCs w:val="21"/>
              </w:rPr>
              <w:t>不存在干预企业依法自主经营活动的行为。建立健全涉企收费、监督检查清单制度，全面清理涉企收费、摊派事项和各类评比达标活动。依法保障企业自主加入和退出行业协会商会的权利。</w:t>
            </w:r>
          </w:p>
        </w:tc>
        <w:tc>
          <w:tcPr>
            <w:tcW w:w="1985" w:type="dxa"/>
            <w:vAlign w:val="center"/>
          </w:tcPr>
          <w:p>
            <w:pPr>
              <w:adjustRightInd w:val="0"/>
              <w:snapToGrid w:val="0"/>
              <w:jc w:val="center"/>
              <w:rPr>
                <w:rFonts w:eastAsia="黑体"/>
                <w:szCs w:val="21"/>
              </w:rPr>
            </w:pPr>
            <w:r>
              <w:rPr>
                <w:rFonts w:hAnsi="黑体" w:eastAsia="黑体"/>
                <w:szCs w:val="21"/>
              </w:rPr>
              <w:t>价监竞争科竞价科</w:t>
            </w:r>
          </w:p>
          <w:p>
            <w:pPr>
              <w:adjustRightInd w:val="0"/>
              <w:snapToGrid w:val="0"/>
              <w:jc w:val="center"/>
              <w:rPr>
                <w:rFonts w:eastAsia="黑体"/>
                <w:szCs w:val="21"/>
              </w:rPr>
            </w:pPr>
            <w:r>
              <w:rPr>
                <w:rFonts w:hAnsi="黑体" w:eastAsia="黑体"/>
                <w:color w:val="000000"/>
                <w:szCs w:val="21"/>
              </w:rPr>
              <w:t>（市公平竞争审查联席办）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690" w:type="dxa"/>
            <w:vMerge w:val="continue"/>
          </w:tcPr>
          <w:p>
            <w:pPr>
              <w:widowControl/>
              <w:adjustRightInd w:val="0"/>
              <w:snapToGrid w:val="0"/>
              <w:rPr>
                <w:rFonts w:eastAsia="黑体"/>
                <w:szCs w:val="21"/>
              </w:rPr>
            </w:pPr>
          </w:p>
        </w:tc>
        <w:tc>
          <w:tcPr>
            <w:tcW w:w="1400" w:type="dxa"/>
            <w:vMerge w:val="restart"/>
            <w:vAlign w:val="center"/>
          </w:tcPr>
          <w:p>
            <w:pPr>
              <w:widowControl/>
              <w:adjustRightInd w:val="0"/>
              <w:snapToGrid w:val="0"/>
              <w:rPr>
                <w:rFonts w:eastAsia="黑体"/>
                <w:szCs w:val="21"/>
              </w:rPr>
            </w:pPr>
            <w:r>
              <w:rPr>
                <w:color w:val="000000"/>
                <w:szCs w:val="21"/>
              </w:rPr>
              <w:t>6.创新社会治理，优化公共服务。</w:t>
            </w:r>
          </w:p>
        </w:tc>
        <w:tc>
          <w:tcPr>
            <w:tcW w:w="546" w:type="dxa"/>
            <w:vAlign w:val="center"/>
          </w:tcPr>
          <w:p>
            <w:pPr>
              <w:adjustRightInd w:val="0"/>
              <w:snapToGrid w:val="0"/>
              <w:jc w:val="center"/>
              <w:rPr>
                <w:color w:val="000000"/>
                <w:szCs w:val="21"/>
              </w:rPr>
            </w:pPr>
            <w:r>
              <w:rPr>
                <w:color w:val="000000"/>
                <w:szCs w:val="21"/>
              </w:rPr>
              <w:t>19</w:t>
            </w:r>
          </w:p>
        </w:tc>
        <w:tc>
          <w:tcPr>
            <w:tcW w:w="9555" w:type="dxa"/>
            <w:vAlign w:val="center"/>
          </w:tcPr>
          <w:p>
            <w:pPr>
              <w:adjustRightInd w:val="0"/>
              <w:snapToGrid w:val="0"/>
              <w:jc w:val="left"/>
              <w:rPr>
                <w:color w:val="000000"/>
                <w:szCs w:val="21"/>
              </w:rPr>
            </w:pPr>
            <w:r>
              <w:rPr>
                <w:color w:val="000000"/>
                <w:szCs w:val="21"/>
              </w:rPr>
              <w:t>应当由社会组织提供的公共服务和解决的事项，全部交由社会组织承担。全面实现行业协会商会与行政机关在机构、职能、资产财务、人员管理、党建外事等事项上脱钩。</w:t>
            </w:r>
          </w:p>
        </w:tc>
        <w:tc>
          <w:tcPr>
            <w:tcW w:w="1985" w:type="dxa"/>
            <w:vMerge w:val="restart"/>
            <w:vAlign w:val="center"/>
          </w:tcPr>
          <w:p>
            <w:pPr>
              <w:adjustRightInd w:val="0"/>
              <w:snapToGrid w:val="0"/>
              <w:jc w:val="center"/>
              <w:rPr>
                <w:rFonts w:eastAsia="黑体"/>
                <w:szCs w:val="21"/>
              </w:rPr>
            </w:pPr>
            <w:r>
              <w:rPr>
                <w:rFonts w:hAnsi="黑体" w:eastAsia="黑体"/>
                <w:szCs w:val="21"/>
              </w:rPr>
              <w:t>法规稽查科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color w:val="000000"/>
                <w:szCs w:val="21"/>
              </w:rPr>
            </w:pPr>
            <w:r>
              <w:rPr>
                <w:color w:val="000000"/>
                <w:szCs w:val="21"/>
              </w:rPr>
              <w:t>20</w:t>
            </w:r>
          </w:p>
        </w:tc>
        <w:tc>
          <w:tcPr>
            <w:tcW w:w="9555" w:type="dxa"/>
            <w:vAlign w:val="center"/>
          </w:tcPr>
          <w:p>
            <w:pPr>
              <w:adjustRightInd w:val="0"/>
              <w:snapToGrid w:val="0"/>
              <w:jc w:val="left"/>
              <w:rPr>
                <w:color w:val="000000"/>
                <w:szCs w:val="21"/>
              </w:rPr>
            </w:pPr>
            <w:r>
              <w:rPr>
                <w:color w:val="000000"/>
                <w:szCs w:val="21"/>
              </w:rPr>
              <w:t>建立健全政府购买公共服务制度，公开政府购买公共服务目录。凡属事务性管理服务，原则上都要引入竞争机制向社会购买，确需政府参与的，实行政府和社会资本合作模式。</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widowControl/>
              <w:adjustRightInd w:val="0"/>
              <w:snapToGrid w:val="0"/>
              <w:rPr>
                <w:rFonts w:eastAsia="黑体"/>
                <w:szCs w:val="21"/>
              </w:rPr>
            </w:pPr>
          </w:p>
        </w:tc>
        <w:tc>
          <w:tcPr>
            <w:tcW w:w="546" w:type="dxa"/>
            <w:vAlign w:val="center"/>
          </w:tcPr>
          <w:p>
            <w:pPr>
              <w:adjustRightInd w:val="0"/>
              <w:snapToGrid w:val="0"/>
              <w:jc w:val="center"/>
              <w:rPr>
                <w:color w:val="000000"/>
                <w:szCs w:val="21"/>
              </w:rPr>
            </w:pPr>
            <w:r>
              <w:rPr>
                <w:color w:val="000000"/>
                <w:szCs w:val="21"/>
              </w:rPr>
              <w:t>21</w:t>
            </w:r>
          </w:p>
        </w:tc>
        <w:tc>
          <w:tcPr>
            <w:tcW w:w="9555" w:type="dxa"/>
            <w:vAlign w:val="center"/>
          </w:tcPr>
          <w:p>
            <w:pPr>
              <w:adjustRightInd w:val="0"/>
              <w:snapToGrid w:val="0"/>
              <w:jc w:val="left"/>
              <w:rPr>
                <w:color w:val="000000"/>
                <w:szCs w:val="21"/>
              </w:rPr>
            </w:pPr>
            <w:r>
              <w:rPr>
                <w:color w:val="000000"/>
                <w:szCs w:val="21"/>
              </w:rPr>
              <w:t>形成覆盖城乡居民的公共法律服务体系，实现县（区）公共法律服务中心、乡镇（街道）公共法律服务工作站、村（居）法律顾问全覆盖。</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690" w:type="dxa"/>
            <w:vMerge w:val="continue"/>
          </w:tcPr>
          <w:p>
            <w:pPr>
              <w:widowControl/>
              <w:adjustRightInd w:val="0"/>
              <w:snapToGrid w:val="0"/>
              <w:rPr>
                <w:rFonts w:eastAsia="黑体"/>
                <w:szCs w:val="21"/>
              </w:rPr>
            </w:pPr>
          </w:p>
        </w:tc>
        <w:tc>
          <w:tcPr>
            <w:tcW w:w="1400" w:type="dxa"/>
            <w:vAlign w:val="center"/>
          </w:tcPr>
          <w:p>
            <w:pPr>
              <w:widowControl/>
              <w:adjustRightInd w:val="0"/>
              <w:snapToGrid w:val="0"/>
              <w:rPr>
                <w:rFonts w:eastAsia="黑体"/>
                <w:szCs w:val="21"/>
              </w:rPr>
            </w:pPr>
            <w:r>
              <w:rPr>
                <w:color w:val="000000"/>
                <w:szCs w:val="21"/>
              </w:rPr>
              <w:t>7.强化节能和生态环境保护。</w:t>
            </w:r>
          </w:p>
        </w:tc>
        <w:tc>
          <w:tcPr>
            <w:tcW w:w="546" w:type="dxa"/>
            <w:vAlign w:val="center"/>
          </w:tcPr>
          <w:p>
            <w:pPr>
              <w:adjustRightInd w:val="0"/>
              <w:snapToGrid w:val="0"/>
              <w:jc w:val="center"/>
              <w:rPr>
                <w:color w:val="000000"/>
                <w:szCs w:val="21"/>
              </w:rPr>
            </w:pPr>
            <w:r>
              <w:rPr>
                <w:color w:val="000000"/>
                <w:szCs w:val="21"/>
              </w:rPr>
              <w:t>22</w:t>
            </w:r>
          </w:p>
        </w:tc>
        <w:tc>
          <w:tcPr>
            <w:tcW w:w="9555" w:type="dxa"/>
            <w:vAlign w:val="center"/>
          </w:tcPr>
          <w:p>
            <w:pPr>
              <w:adjustRightInd w:val="0"/>
              <w:snapToGrid w:val="0"/>
              <w:jc w:val="left"/>
              <w:rPr>
                <w:color w:val="000000"/>
                <w:szCs w:val="21"/>
              </w:rPr>
            </w:pPr>
            <w:r>
              <w:rPr>
                <w:color w:val="000000"/>
                <w:szCs w:val="21"/>
              </w:rPr>
              <w:t xml:space="preserve">全面落实地方节能和生态环境保护要求，以及《汉中市生态环境保护岗位责任清单》有关内容。 </w:t>
            </w:r>
          </w:p>
        </w:tc>
        <w:tc>
          <w:tcPr>
            <w:tcW w:w="1985" w:type="dxa"/>
            <w:vAlign w:val="center"/>
          </w:tcPr>
          <w:p>
            <w:pPr>
              <w:widowControl/>
              <w:adjustRightInd w:val="0"/>
              <w:snapToGrid w:val="0"/>
              <w:rPr>
                <w:rFonts w:eastAsia="黑体"/>
                <w:szCs w:val="21"/>
              </w:rPr>
            </w:pPr>
            <w:r>
              <w:rPr>
                <w:rFonts w:hAnsi="黑体" w:eastAsia="黑体"/>
                <w:szCs w:val="21"/>
              </w:rPr>
              <w:t>计量科、质量监督科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Align w:val="center"/>
          </w:tcPr>
          <w:p>
            <w:pPr>
              <w:adjustRightInd w:val="0"/>
              <w:snapToGrid w:val="0"/>
              <w:jc w:val="center"/>
              <w:rPr>
                <w:rFonts w:eastAsia="黑体"/>
                <w:color w:val="000000"/>
                <w:szCs w:val="21"/>
              </w:rPr>
            </w:pPr>
            <w:r>
              <w:rPr>
                <w:rFonts w:eastAsia="黑体"/>
                <w:color w:val="000000"/>
                <w:szCs w:val="21"/>
              </w:rPr>
              <w:t>一级</w:t>
            </w:r>
          </w:p>
          <w:p>
            <w:pPr>
              <w:adjustRightInd w:val="0"/>
              <w:snapToGrid w:val="0"/>
              <w:jc w:val="center"/>
              <w:rPr>
                <w:rFonts w:eastAsia="黑体"/>
                <w:color w:val="000000"/>
                <w:szCs w:val="21"/>
              </w:rPr>
            </w:pPr>
            <w:r>
              <w:rPr>
                <w:rFonts w:eastAsia="黑体"/>
                <w:color w:val="000000"/>
                <w:szCs w:val="21"/>
              </w:rPr>
              <w:t>指标</w:t>
            </w:r>
          </w:p>
        </w:tc>
        <w:tc>
          <w:tcPr>
            <w:tcW w:w="1400" w:type="dxa"/>
            <w:vAlign w:val="center"/>
          </w:tcPr>
          <w:p>
            <w:pPr>
              <w:adjustRightInd w:val="0"/>
              <w:snapToGrid w:val="0"/>
              <w:jc w:val="center"/>
              <w:rPr>
                <w:rFonts w:eastAsia="黑体"/>
                <w:color w:val="000000"/>
                <w:szCs w:val="21"/>
              </w:rPr>
            </w:pPr>
            <w:r>
              <w:rPr>
                <w:rFonts w:eastAsia="黑体"/>
                <w:color w:val="000000"/>
                <w:szCs w:val="21"/>
              </w:rPr>
              <w:t>二级指标</w:t>
            </w:r>
          </w:p>
        </w:tc>
        <w:tc>
          <w:tcPr>
            <w:tcW w:w="546" w:type="dxa"/>
            <w:vAlign w:val="center"/>
          </w:tcPr>
          <w:p>
            <w:pPr>
              <w:adjustRightInd w:val="0"/>
              <w:snapToGrid w:val="0"/>
              <w:jc w:val="center"/>
              <w:rPr>
                <w:rFonts w:eastAsia="黑体"/>
                <w:color w:val="000000"/>
                <w:szCs w:val="21"/>
              </w:rPr>
            </w:pPr>
            <w:r>
              <w:rPr>
                <w:rFonts w:eastAsia="黑体"/>
                <w:color w:val="000000"/>
                <w:szCs w:val="21"/>
              </w:rPr>
              <w:t>序号</w:t>
            </w:r>
          </w:p>
        </w:tc>
        <w:tc>
          <w:tcPr>
            <w:tcW w:w="9555" w:type="dxa"/>
            <w:vAlign w:val="center"/>
          </w:tcPr>
          <w:p>
            <w:pPr>
              <w:adjustRightInd w:val="0"/>
              <w:snapToGrid w:val="0"/>
              <w:jc w:val="center"/>
              <w:rPr>
                <w:rFonts w:eastAsia="黑体"/>
                <w:color w:val="000000"/>
                <w:szCs w:val="21"/>
              </w:rPr>
            </w:pPr>
            <w:r>
              <w:rPr>
                <w:rFonts w:eastAsia="黑体"/>
                <w:color w:val="000000"/>
                <w:szCs w:val="21"/>
              </w:rPr>
              <w:t>三级指标</w:t>
            </w:r>
          </w:p>
        </w:tc>
        <w:tc>
          <w:tcPr>
            <w:tcW w:w="1985" w:type="dxa"/>
            <w:vAlign w:val="center"/>
          </w:tcPr>
          <w:p>
            <w:pPr>
              <w:adjustRightInd w:val="0"/>
              <w:snapToGrid w:val="0"/>
              <w:jc w:val="center"/>
              <w:rPr>
                <w:rFonts w:eastAsia="黑体"/>
                <w:color w:val="000000"/>
                <w:szCs w:val="21"/>
              </w:rPr>
            </w:pPr>
            <w:r>
              <w:rPr>
                <w:rFonts w:eastAsia="黑体"/>
                <w:color w:val="000000"/>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690" w:type="dxa"/>
            <w:vMerge w:val="restart"/>
            <w:vAlign w:val="center"/>
          </w:tcPr>
          <w:p>
            <w:pPr>
              <w:widowControl/>
              <w:adjustRightInd w:val="0"/>
              <w:snapToGrid w:val="0"/>
              <w:jc w:val="center"/>
              <w:rPr>
                <w:rFonts w:eastAsia="黑体"/>
                <w:color w:val="000000"/>
                <w:szCs w:val="21"/>
              </w:rPr>
            </w:pPr>
            <w:r>
              <w:rPr>
                <w:rFonts w:hAnsi="黑体" w:eastAsia="黑体"/>
                <w:color w:val="000000"/>
                <w:szCs w:val="21"/>
              </w:rPr>
              <w:t>二、</w:t>
            </w:r>
          </w:p>
          <w:p>
            <w:pPr>
              <w:widowControl/>
              <w:adjustRightInd w:val="0"/>
              <w:snapToGrid w:val="0"/>
              <w:jc w:val="center"/>
              <w:rPr>
                <w:rFonts w:eastAsia="黑体"/>
                <w:szCs w:val="21"/>
              </w:rPr>
            </w:pPr>
            <w:r>
              <w:rPr>
                <w:rFonts w:hAnsi="黑体" w:eastAsia="黑体"/>
                <w:color w:val="000000"/>
                <w:szCs w:val="21"/>
              </w:rPr>
              <w:t>依法行政制度体系完善</w:t>
            </w:r>
          </w:p>
        </w:tc>
        <w:tc>
          <w:tcPr>
            <w:tcW w:w="1400" w:type="dxa"/>
            <w:vMerge w:val="restart"/>
            <w:vAlign w:val="center"/>
          </w:tcPr>
          <w:p>
            <w:pPr>
              <w:adjustRightInd w:val="0"/>
              <w:snapToGrid w:val="0"/>
              <w:rPr>
                <w:color w:val="000000"/>
                <w:szCs w:val="21"/>
              </w:rPr>
            </w:pPr>
            <w:r>
              <w:rPr>
                <w:color w:val="000000"/>
                <w:szCs w:val="21"/>
              </w:rPr>
              <w:t>1.完善地方政府规章制定机制。</w:t>
            </w:r>
          </w:p>
        </w:tc>
        <w:tc>
          <w:tcPr>
            <w:tcW w:w="546" w:type="dxa"/>
            <w:vAlign w:val="center"/>
          </w:tcPr>
          <w:p>
            <w:pPr>
              <w:adjustRightInd w:val="0"/>
              <w:snapToGrid w:val="0"/>
              <w:jc w:val="center"/>
              <w:rPr>
                <w:color w:val="000000"/>
                <w:szCs w:val="21"/>
              </w:rPr>
            </w:pPr>
            <w:r>
              <w:rPr>
                <w:color w:val="000000"/>
                <w:szCs w:val="21"/>
              </w:rPr>
              <w:t>23</w:t>
            </w:r>
          </w:p>
        </w:tc>
        <w:tc>
          <w:tcPr>
            <w:tcW w:w="9555" w:type="dxa"/>
            <w:vAlign w:val="center"/>
          </w:tcPr>
          <w:p>
            <w:pPr>
              <w:adjustRightInd w:val="0"/>
              <w:snapToGrid w:val="0"/>
              <w:jc w:val="left"/>
              <w:rPr>
                <w:color w:val="000000"/>
                <w:szCs w:val="21"/>
              </w:rPr>
            </w:pPr>
            <w:r>
              <w:rPr>
                <w:color w:val="000000"/>
                <w:szCs w:val="21"/>
              </w:rPr>
              <w:t>坚持党对行政立法工作的领导，立法工作中遇有重大问题及时向党组报告。</w:t>
            </w:r>
          </w:p>
        </w:tc>
        <w:tc>
          <w:tcPr>
            <w:tcW w:w="1985" w:type="dxa"/>
            <w:vMerge w:val="restart"/>
            <w:vAlign w:val="center"/>
          </w:tcPr>
          <w:p>
            <w:pPr>
              <w:widowControl/>
              <w:adjustRightInd w:val="0"/>
              <w:snapToGrid w:val="0"/>
              <w:jc w:val="center"/>
              <w:rPr>
                <w:rFonts w:eastAsia="黑体"/>
                <w:szCs w:val="21"/>
              </w:rPr>
            </w:pPr>
            <w:r>
              <w:rPr>
                <w:rFonts w:hAnsi="黑体" w:eastAsia="黑体"/>
                <w:szCs w:val="21"/>
              </w:rPr>
              <w:t>法规稽查科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24</w:t>
            </w:r>
          </w:p>
        </w:tc>
        <w:tc>
          <w:tcPr>
            <w:tcW w:w="9555" w:type="dxa"/>
            <w:vAlign w:val="center"/>
          </w:tcPr>
          <w:p>
            <w:pPr>
              <w:adjustRightInd w:val="0"/>
              <w:snapToGrid w:val="0"/>
              <w:jc w:val="left"/>
              <w:rPr>
                <w:color w:val="000000"/>
                <w:szCs w:val="21"/>
              </w:rPr>
            </w:pPr>
            <w:r>
              <w:rPr>
                <w:color w:val="000000"/>
                <w:szCs w:val="21"/>
              </w:rPr>
              <w:t>健全地方政府规章立项、起草、论证、协调、审议机制。</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25</w:t>
            </w:r>
          </w:p>
        </w:tc>
        <w:tc>
          <w:tcPr>
            <w:tcW w:w="9555" w:type="dxa"/>
            <w:vAlign w:val="center"/>
          </w:tcPr>
          <w:p>
            <w:pPr>
              <w:adjustRightInd w:val="0"/>
              <w:snapToGrid w:val="0"/>
              <w:jc w:val="left"/>
              <w:rPr>
                <w:color w:val="000000"/>
                <w:szCs w:val="21"/>
              </w:rPr>
            </w:pPr>
            <w:r>
              <w:rPr>
                <w:color w:val="000000"/>
                <w:szCs w:val="21"/>
              </w:rPr>
              <w:t>严控相关领域行政规范性文件的数量。</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690" w:type="dxa"/>
            <w:vMerge w:val="continue"/>
          </w:tcPr>
          <w:p>
            <w:pPr>
              <w:widowControl/>
              <w:adjustRightInd w:val="0"/>
              <w:snapToGrid w:val="0"/>
              <w:rPr>
                <w:rFonts w:eastAsia="黑体"/>
                <w:szCs w:val="21"/>
              </w:rPr>
            </w:pPr>
          </w:p>
        </w:tc>
        <w:tc>
          <w:tcPr>
            <w:tcW w:w="1400" w:type="dxa"/>
            <w:vMerge w:val="restart"/>
            <w:vAlign w:val="center"/>
          </w:tcPr>
          <w:p>
            <w:pPr>
              <w:adjustRightInd w:val="0"/>
              <w:snapToGrid w:val="0"/>
              <w:rPr>
                <w:color w:val="000000"/>
                <w:szCs w:val="21"/>
              </w:rPr>
            </w:pPr>
            <w:r>
              <w:rPr>
                <w:color w:val="000000"/>
                <w:szCs w:val="21"/>
              </w:rPr>
              <w:t>2.提高制度建设公众参与度。</w:t>
            </w:r>
          </w:p>
        </w:tc>
        <w:tc>
          <w:tcPr>
            <w:tcW w:w="546" w:type="dxa"/>
            <w:vAlign w:val="center"/>
          </w:tcPr>
          <w:p>
            <w:pPr>
              <w:adjustRightInd w:val="0"/>
              <w:snapToGrid w:val="0"/>
              <w:jc w:val="center"/>
              <w:rPr>
                <w:color w:val="000000"/>
                <w:szCs w:val="21"/>
              </w:rPr>
            </w:pPr>
            <w:r>
              <w:rPr>
                <w:color w:val="000000"/>
                <w:szCs w:val="21"/>
              </w:rPr>
              <w:t>26</w:t>
            </w:r>
          </w:p>
        </w:tc>
        <w:tc>
          <w:tcPr>
            <w:tcW w:w="9555" w:type="dxa"/>
            <w:vAlign w:val="center"/>
          </w:tcPr>
          <w:p>
            <w:pPr>
              <w:adjustRightInd w:val="0"/>
              <w:snapToGrid w:val="0"/>
              <w:jc w:val="left"/>
              <w:rPr>
                <w:color w:val="000000"/>
                <w:szCs w:val="21"/>
              </w:rPr>
            </w:pPr>
            <w:r>
              <w:rPr>
                <w:color w:val="000000"/>
                <w:szCs w:val="21"/>
              </w:rPr>
              <w:t>除依法需要保密的外，地方政府规章草案及其说明一律向社会公开征求意见，期限一般不少于30日。涉及企业和特定群体、行业利益的，充分听取企业、人民团体、行业协会商会的意见。</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27</w:t>
            </w:r>
          </w:p>
        </w:tc>
        <w:tc>
          <w:tcPr>
            <w:tcW w:w="9555" w:type="dxa"/>
            <w:vAlign w:val="center"/>
          </w:tcPr>
          <w:p>
            <w:pPr>
              <w:adjustRightInd w:val="0"/>
              <w:snapToGrid w:val="0"/>
              <w:jc w:val="left"/>
              <w:rPr>
                <w:color w:val="000000"/>
                <w:szCs w:val="21"/>
              </w:rPr>
            </w:pPr>
            <w:r>
              <w:rPr>
                <w:color w:val="000000"/>
                <w:szCs w:val="21"/>
              </w:rPr>
              <w:t>对公民、法人和其他组织权利义务有重大影响、涉及人民群众切身利益的行政规范性文件，在向社会公开征求意见时，期限一般不少于7个工作日。涉及企业和特定群体、行业利益的，充分听取企业、人民团体、行业协会商会的意见。</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28</w:t>
            </w:r>
          </w:p>
        </w:tc>
        <w:tc>
          <w:tcPr>
            <w:tcW w:w="9555" w:type="dxa"/>
            <w:vAlign w:val="center"/>
          </w:tcPr>
          <w:p>
            <w:pPr>
              <w:adjustRightInd w:val="0"/>
              <w:snapToGrid w:val="0"/>
              <w:jc w:val="left"/>
              <w:rPr>
                <w:szCs w:val="21"/>
              </w:rPr>
            </w:pPr>
            <w:r>
              <w:rPr>
                <w:szCs w:val="21"/>
              </w:rPr>
              <w:t>人大代表、政协委员关于行政立法的建议、提案，回复率达到100%，无遗漏、不迟延。</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90" w:type="dxa"/>
            <w:vMerge w:val="continue"/>
          </w:tcPr>
          <w:p>
            <w:pPr>
              <w:widowControl/>
              <w:adjustRightInd w:val="0"/>
              <w:snapToGrid w:val="0"/>
              <w:rPr>
                <w:rFonts w:eastAsia="黑体"/>
                <w:szCs w:val="21"/>
              </w:rPr>
            </w:pPr>
          </w:p>
        </w:tc>
        <w:tc>
          <w:tcPr>
            <w:tcW w:w="1400" w:type="dxa"/>
            <w:vMerge w:val="restart"/>
            <w:vAlign w:val="center"/>
          </w:tcPr>
          <w:p>
            <w:pPr>
              <w:adjustRightInd w:val="0"/>
              <w:snapToGrid w:val="0"/>
              <w:rPr>
                <w:color w:val="000000"/>
                <w:szCs w:val="21"/>
              </w:rPr>
            </w:pPr>
            <w:r>
              <w:rPr>
                <w:color w:val="000000"/>
                <w:szCs w:val="21"/>
              </w:rPr>
              <w:t>3.加强行政规范性文件制定和监督管理。</w:t>
            </w:r>
          </w:p>
        </w:tc>
        <w:tc>
          <w:tcPr>
            <w:tcW w:w="546" w:type="dxa"/>
            <w:vAlign w:val="center"/>
          </w:tcPr>
          <w:p>
            <w:pPr>
              <w:adjustRightInd w:val="0"/>
              <w:snapToGrid w:val="0"/>
              <w:jc w:val="center"/>
              <w:rPr>
                <w:color w:val="000000"/>
                <w:szCs w:val="21"/>
              </w:rPr>
            </w:pPr>
            <w:r>
              <w:rPr>
                <w:color w:val="000000"/>
                <w:szCs w:val="21"/>
              </w:rPr>
              <w:t>29</w:t>
            </w:r>
          </w:p>
        </w:tc>
        <w:tc>
          <w:tcPr>
            <w:tcW w:w="9555" w:type="dxa"/>
            <w:vAlign w:val="center"/>
          </w:tcPr>
          <w:p>
            <w:pPr>
              <w:adjustRightInd w:val="0"/>
              <w:snapToGrid w:val="0"/>
              <w:jc w:val="left"/>
              <w:rPr>
                <w:color w:val="000000"/>
                <w:szCs w:val="21"/>
              </w:rPr>
            </w:pPr>
            <w:r>
              <w:rPr>
                <w:color w:val="000000"/>
                <w:szCs w:val="21"/>
              </w:rPr>
              <w:t>行政规范性文件必须经合法性审核。</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30</w:t>
            </w:r>
          </w:p>
        </w:tc>
        <w:tc>
          <w:tcPr>
            <w:tcW w:w="9555" w:type="dxa"/>
            <w:vAlign w:val="center"/>
          </w:tcPr>
          <w:p>
            <w:pPr>
              <w:adjustRightInd w:val="0"/>
              <w:snapToGrid w:val="0"/>
              <w:jc w:val="left"/>
              <w:rPr>
                <w:color w:val="000000"/>
                <w:szCs w:val="21"/>
              </w:rPr>
            </w:pPr>
            <w:r>
              <w:rPr>
                <w:color w:val="000000"/>
                <w:szCs w:val="21"/>
              </w:rPr>
              <w:t>行政规范性文件不得增加行政权力事项或者减少法定职责，没有设定行政许可等，没有减损公民、法人和其他组织的合法权益或增加其义务；没有排除或者限制公平竞争内容。</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31</w:t>
            </w:r>
          </w:p>
        </w:tc>
        <w:tc>
          <w:tcPr>
            <w:tcW w:w="9555" w:type="dxa"/>
            <w:vAlign w:val="center"/>
          </w:tcPr>
          <w:p>
            <w:pPr>
              <w:adjustRightInd w:val="0"/>
              <w:snapToGrid w:val="0"/>
              <w:jc w:val="left"/>
              <w:rPr>
                <w:color w:val="000000"/>
                <w:szCs w:val="21"/>
              </w:rPr>
            </w:pPr>
            <w:r>
              <w:rPr>
                <w:color w:val="000000"/>
                <w:szCs w:val="21"/>
              </w:rPr>
              <w:t>行政规范性文件的合法性审核率达100%。</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32</w:t>
            </w:r>
          </w:p>
        </w:tc>
        <w:tc>
          <w:tcPr>
            <w:tcW w:w="9555" w:type="dxa"/>
            <w:vAlign w:val="center"/>
          </w:tcPr>
          <w:p>
            <w:pPr>
              <w:adjustRightInd w:val="0"/>
              <w:snapToGrid w:val="0"/>
              <w:jc w:val="left"/>
              <w:rPr>
                <w:color w:val="000000"/>
                <w:szCs w:val="21"/>
              </w:rPr>
            </w:pPr>
            <w:r>
              <w:rPr>
                <w:color w:val="000000"/>
                <w:szCs w:val="21"/>
              </w:rPr>
              <w:t>没有发生因行政规范性文件未按程序制定被通报的情况，或被本级人大或者上级行政机关责令改正或者撤销的情况，被行政复议机关、人民法院认定为不适用不合法的情况。</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tcPr>
          <w:p>
            <w:pPr>
              <w:widowControl/>
              <w:adjustRightInd w:val="0"/>
              <w:snapToGrid w:val="0"/>
              <w:rPr>
                <w:rFonts w:eastAsia="黑体"/>
                <w:szCs w:val="21"/>
              </w:rPr>
            </w:pPr>
          </w:p>
        </w:tc>
        <w:tc>
          <w:tcPr>
            <w:tcW w:w="1400" w:type="dxa"/>
            <w:vMerge w:val="restart"/>
            <w:vAlign w:val="center"/>
          </w:tcPr>
          <w:p>
            <w:pPr>
              <w:adjustRightInd w:val="0"/>
              <w:snapToGrid w:val="0"/>
              <w:rPr>
                <w:color w:val="000000"/>
                <w:szCs w:val="21"/>
              </w:rPr>
            </w:pPr>
            <w:r>
              <w:rPr>
                <w:color w:val="000000"/>
                <w:szCs w:val="21"/>
              </w:rPr>
              <w:t>4.备案审查和清理机制健全。</w:t>
            </w:r>
          </w:p>
        </w:tc>
        <w:tc>
          <w:tcPr>
            <w:tcW w:w="546" w:type="dxa"/>
            <w:vAlign w:val="center"/>
          </w:tcPr>
          <w:p>
            <w:pPr>
              <w:adjustRightInd w:val="0"/>
              <w:snapToGrid w:val="0"/>
              <w:jc w:val="center"/>
              <w:rPr>
                <w:color w:val="000000"/>
                <w:szCs w:val="21"/>
              </w:rPr>
            </w:pPr>
            <w:r>
              <w:rPr>
                <w:color w:val="000000"/>
                <w:szCs w:val="21"/>
              </w:rPr>
              <w:t>33</w:t>
            </w:r>
          </w:p>
        </w:tc>
        <w:tc>
          <w:tcPr>
            <w:tcW w:w="9555" w:type="dxa"/>
            <w:vAlign w:val="center"/>
          </w:tcPr>
          <w:p>
            <w:pPr>
              <w:adjustRightInd w:val="0"/>
              <w:snapToGrid w:val="0"/>
              <w:jc w:val="left"/>
              <w:rPr>
                <w:color w:val="000000"/>
                <w:szCs w:val="21"/>
              </w:rPr>
            </w:pPr>
            <w:r>
              <w:rPr>
                <w:color w:val="000000"/>
                <w:szCs w:val="21"/>
              </w:rPr>
              <w:t>及时对行政规范性文件进行修改和废止。</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34</w:t>
            </w:r>
          </w:p>
        </w:tc>
        <w:tc>
          <w:tcPr>
            <w:tcW w:w="9555" w:type="dxa"/>
            <w:vAlign w:val="center"/>
          </w:tcPr>
          <w:p>
            <w:pPr>
              <w:adjustRightInd w:val="0"/>
              <w:snapToGrid w:val="0"/>
              <w:jc w:val="left"/>
              <w:rPr>
                <w:color w:val="000000"/>
                <w:szCs w:val="21"/>
              </w:rPr>
            </w:pPr>
            <w:r>
              <w:rPr>
                <w:color w:val="000000"/>
                <w:szCs w:val="21"/>
              </w:rPr>
              <w:t>行政规范性文件按照规定的程序和时限报送备案，及时率、规范率均达100%。</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35</w:t>
            </w:r>
          </w:p>
        </w:tc>
        <w:tc>
          <w:tcPr>
            <w:tcW w:w="9555" w:type="dxa"/>
            <w:vAlign w:val="center"/>
          </w:tcPr>
          <w:p>
            <w:pPr>
              <w:adjustRightInd w:val="0"/>
              <w:snapToGrid w:val="0"/>
              <w:jc w:val="left"/>
              <w:rPr>
                <w:color w:val="000000"/>
                <w:szCs w:val="21"/>
              </w:rPr>
            </w:pPr>
            <w:r>
              <w:rPr>
                <w:color w:val="000000"/>
                <w:szCs w:val="21"/>
              </w:rPr>
              <w:t>行政规范性文件目录和文本动态化、信息化管理，并及时清理公开。</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Align w:val="center"/>
          </w:tcPr>
          <w:p>
            <w:pPr>
              <w:adjustRightInd w:val="0"/>
              <w:snapToGrid w:val="0"/>
              <w:jc w:val="center"/>
              <w:rPr>
                <w:rFonts w:eastAsia="黑体"/>
                <w:color w:val="000000"/>
                <w:szCs w:val="21"/>
              </w:rPr>
            </w:pPr>
            <w:r>
              <w:rPr>
                <w:rFonts w:eastAsia="黑体"/>
                <w:color w:val="000000"/>
                <w:szCs w:val="21"/>
              </w:rPr>
              <w:t>一级</w:t>
            </w:r>
          </w:p>
          <w:p>
            <w:pPr>
              <w:adjustRightInd w:val="0"/>
              <w:snapToGrid w:val="0"/>
              <w:jc w:val="center"/>
              <w:rPr>
                <w:rFonts w:eastAsia="黑体"/>
                <w:color w:val="000000"/>
                <w:szCs w:val="21"/>
              </w:rPr>
            </w:pPr>
            <w:r>
              <w:rPr>
                <w:rFonts w:eastAsia="黑体"/>
                <w:color w:val="000000"/>
                <w:szCs w:val="21"/>
              </w:rPr>
              <w:t>指标</w:t>
            </w:r>
          </w:p>
        </w:tc>
        <w:tc>
          <w:tcPr>
            <w:tcW w:w="1400" w:type="dxa"/>
            <w:vAlign w:val="center"/>
          </w:tcPr>
          <w:p>
            <w:pPr>
              <w:adjustRightInd w:val="0"/>
              <w:snapToGrid w:val="0"/>
              <w:jc w:val="center"/>
              <w:rPr>
                <w:rFonts w:eastAsia="黑体"/>
                <w:color w:val="000000"/>
                <w:szCs w:val="21"/>
              </w:rPr>
            </w:pPr>
            <w:r>
              <w:rPr>
                <w:rFonts w:eastAsia="黑体"/>
                <w:color w:val="000000"/>
                <w:szCs w:val="21"/>
              </w:rPr>
              <w:t>二级指标</w:t>
            </w:r>
          </w:p>
        </w:tc>
        <w:tc>
          <w:tcPr>
            <w:tcW w:w="546" w:type="dxa"/>
            <w:vAlign w:val="center"/>
          </w:tcPr>
          <w:p>
            <w:pPr>
              <w:adjustRightInd w:val="0"/>
              <w:snapToGrid w:val="0"/>
              <w:jc w:val="center"/>
              <w:rPr>
                <w:rFonts w:eastAsia="黑体"/>
                <w:color w:val="000000"/>
                <w:szCs w:val="21"/>
              </w:rPr>
            </w:pPr>
            <w:r>
              <w:rPr>
                <w:rFonts w:eastAsia="黑体"/>
                <w:color w:val="000000"/>
                <w:szCs w:val="21"/>
              </w:rPr>
              <w:t>序号</w:t>
            </w:r>
          </w:p>
        </w:tc>
        <w:tc>
          <w:tcPr>
            <w:tcW w:w="9555" w:type="dxa"/>
            <w:vAlign w:val="center"/>
          </w:tcPr>
          <w:p>
            <w:pPr>
              <w:adjustRightInd w:val="0"/>
              <w:snapToGrid w:val="0"/>
              <w:jc w:val="center"/>
              <w:rPr>
                <w:rFonts w:eastAsia="黑体"/>
                <w:color w:val="000000"/>
                <w:szCs w:val="21"/>
              </w:rPr>
            </w:pPr>
            <w:r>
              <w:rPr>
                <w:rFonts w:eastAsia="黑体"/>
                <w:color w:val="000000"/>
                <w:szCs w:val="21"/>
              </w:rPr>
              <w:t>三级指标</w:t>
            </w:r>
          </w:p>
        </w:tc>
        <w:tc>
          <w:tcPr>
            <w:tcW w:w="1985" w:type="dxa"/>
            <w:vAlign w:val="center"/>
          </w:tcPr>
          <w:p>
            <w:pPr>
              <w:adjustRightInd w:val="0"/>
              <w:snapToGrid w:val="0"/>
              <w:jc w:val="center"/>
              <w:rPr>
                <w:rFonts w:eastAsia="黑体"/>
                <w:color w:val="000000"/>
                <w:szCs w:val="21"/>
              </w:rPr>
            </w:pPr>
            <w:r>
              <w:rPr>
                <w:rFonts w:eastAsia="黑体"/>
                <w:color w:val="000000"/>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restart"/>
            <w:vAlign w:val="center"/>
          </w:tcPr>
          <w:p>
            <w:pPr>
              <w:widowControl/>
              <w:adjustRightInd w:val="0"/>
              <w:snapToGrid w:val="0"/>
              <w:jc w:val="center"/>
              <w:rPr>
                <w:rFonts w:eastAsia="黑体"/>
                <w:color w:val="000000"/>
                <w:szCs w:val="21"/>
              </w:rPr>
            </w:pPr>
            <w:r>
              <w:rPr>
                <w:rFonts w:hAnsi="黑体" w:eastAsia="黑体"/>
                <w:color w:val="000000"/>
                <w:szCs w:val="21"/>
              </w:rPr>
              <w:t>三、</w:t>
            </w:r>
          </w:p>
          <w:p>
            <w:pPr>
              <w:widowControl/>
              <w:adjustRightInd w:val="0"/>
              <w:snapToGrid w:val="0"/>
              <w:jc w:val="center"/>
              <w:rPr>
                <w:rFonts w:eastAsia="黑体"/>
                <w:szCs w:val="21"/>
              </w:rPr>
            </w:pPr>
            <w:r>
              <w:rPr>
                <w:rFonts w:hAnsi="黑体" w:eastAsia="黑体"/>
                <w:color w:val="000000"/>
                <w:szCs w:val="21"/>
              </w:rPr>
              <w:t>重大行政决策科学民主合法</w:t>
            </w:r>
          </w:p>
        </w:tc>
        <w:tc>
          <w:tcPr>
            <w:tcW w:w="1400" w:type="dxa"/>
            <w:vMerge w:val="restart"/>
            <w:vAlign w:val="center"/>
          </w:tcPr>
          <w:p>
            <w:pPr>
              <w:adjustRightInd w:val="0"/>
              <w:snapToGrid w:val="0"/>
              <w:rPr>
                <w:color w:val="000000"/>
                <w:szCs w:val="21"/>
              </w:rPr>
            </w:pPr>
            <w:r>
              <w:rPr>
                <w:color w:val="000000"/>
                <w:szCs w:val="21"/>
              </w:rPr>
              <w:t>1.依法决策机制健全。</w:t>
            </w:r>
          </w:p>
        </w:tc>
        <w:tc>
          <w:tcPr>
            <w:tcW w:w="546" w:type="dxa"/>
            <w:vAlign w:val="center"/>
          </w:tcPr>
          <w:p>
            <w:pPr>
              <w:adjustRightInd w:val="0"/>
              <w:snapToGrid w:val="0"/>
              <w:jc w:val="center"/>
              <w:rPr>
                <w:color w:val="000000"/>
                <w:szCs w:val="21"/>
              </w:rPr>
            </w:pPr>
            <w:r>
              <w:rPr>
                <w:color w:val="000000"/>
                <w:szCs w:val="21"/>
              </w:rPr>
              <w:t>36</w:t>
            </w:r>
          </w:p>
        </w:tc>
        <w:tc>
          <w:tcPr>
            <w:tcW w:w="9555" w:type="dxa"/>
            <w:vAlign w:val="center"/>
          </w:tcPr>
          <w:p>
            <w:pPr>
              <w:adjustRightInd w:val="0"/>
              <w:snapToGrid w:val="0"/>
              <w:jc w:val="left"/>
              <w:rPr>
                <w:color w:val="000000"/>
                <w:szCs w:val="21"/>
              </w:rPr>
            </w:pPr>
            <w:r>
              <w:rPr>
                <w:color w:val="000000"/>
                <w:szCs w:val="21"/>
              </w:rPr>
              <w:t>制定重大行政决策事项目录、标准，向社会公开，规范重大行政决策流程。</w:t>
            </w:r>
          </w:p>
        </w:tc>
        <w:tc>
          <w:tcPr>
            <w:tcW w:w="1985" w:type="dxa"/>
            <w:vMerge w:val="restart"/>
            <w:vAlign w:val="center"/>
          </w:tcPr>
          <w:p>
            <w:pPr>
              <w:widowControl/>
              <w:adjustRightInd w:val="0"/>
              <w:snapToGrid w:val="0"/>
              <w:jc w:val="center"/>
              <w:rPr>
                <w:rFonts w:eastAsia="黑体"/>
                <w:szCs w:val="21"/>
              </w:rPr>
            </w:pPr>
            <w:r>
              <w:rPr>
                <w:rFonts w:hAnsi="黑体" w:eastAsia="黑体"/>
                <w:szCs w:val="21"/>
              </w:rPr>
              <w:t>法规稽查科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37</w:t>
            </w:r>
          </w:p>
        </w:tc>
        <w:tc>
          <w:tcPr>
            <w:tcW w:w="9555" w:type="dxa"/>
            <w:vAlign w:val="center"/>
          </w:tcPr>
          <w:p>
            <w:pPr>
              <w:adjustRightInd w:val="0"/>
              <w:snapToGrid w:val="0"/>
              <w:jc w:val="left"/>
              <w:rPr>
                <w:color w:val="000000"/>
                <w:szCs w:val="21"/>
              </w:rPr>
            </w:pPr>
            <w:r>
              <w:rPr>
                <w:color w:val="000000"/>
                <w:szCs w:val="21"/>
              </w:rPr>
              <w:t>重大行政决策依法自觉接受监督，严格按照有关规定办理。</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690" w:type="dxa"/>
            <w:vMerge w:val="continue"/>
          </w:tcPr>
          <w:p>
            <w:pPr>
              <w:widowControl/>
              <w:adjustRightInd w:val="0"/>
              <w:snapToGrid w:val="0"/>
              <w:rPr>
                <w:rFonts w:eastAsia="黑体"/>
                <w:szCs w:val="21"/>
              </w:rPr>
            </w:pPr>
          </w:p>
        </w:tc>
        <w:tc>
          <w:tcPr>
            <w:tcW w:w="1400" w:type="dxa"/>
            <w:vMerge w:val="restart"/>
            <w:vAlign w:val="center"/>
          </w:tcPr>
          <w:p>
            <w:pPr>
              <w:adjustRightInd w:val="0"/>
              <w:snapToGrid w:val="0"/>
              <w:rPr>
                <w:color w:val="000000"/>
                <w:szCs w:val="21"/>
              </w:rPr>
            </w:pPr>
            <w:r>
              <w:rPr>
                <w:color w:val="000000"/>
                <w:szCs w:val="21"/>
              </w:rPr>
              <w:t>2.公众参与。</w:t>
            </w:r>
          </w:p>
        </w:tc>
        <w:tc>
          <w:tcPr>
            <w:tcW w:w="546" w:type="dxa"/>
            <w:vAlign w:val="center"/>
          </w:tcPr>
          <w:p>
            <w:pPr>
              <w:adjustRightInd w:val="0"/>
              <w:snapToGrid w:val="0"/>
              <w:jc w:val="center"/>
              <w:rPr>
                <w:color w:val="000000"/>
                <w:szCs w:val="21"/>
              </w:rPr>
            </w:pPr>
            <w:r>
              <w:rPr>
                <w:color w:val="000000"/>
                <w:szCs w:val="21"/>
              </w:rPr>
              <w:t>38</w:t>
            </w:r>
          </w:p>
        </w:tc>
        <w:tc>
          <w:tcPr>
            <w:tcW w:w="9555" w:type="dxa"/>
            <w:vAlign w:val="center"/>
          </w:tcPr>
          <w:p>
            <w:pPr>
              <w:adjustRightInd w:val="0"/>
              <w:snapToGrid w:val="0"/>
              <w:jc w:val="left"/>
              <w:rPr>
                <w:color w:val="000000"/>
                <w:szCs w:val="21"/>
              </w:rPr>
            </w:pPr>
            <w:r>
              <w:rPr>
                <w:color w:val="000000"/>
                <w:szCs w:val="21"/>
              </w:rPr>
              <w:t>实行重大行政决策公开制度，除依法应当保密的外，决策事项、依据和结果全部公开，并为公众查阅提供服务。对社会关注度高的决策事项，认真进行解释说明。</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39</w:t>
            </w:r>
          </w:p>
        </w:tc>
        <w:tc>
          <w:tcPr>
            <w:tcW w:w="9555" w:type="dxa"/>
            <w:vAlign w:val="center"/>
          </w:tcPr>
          <w:p>
            <w:pPr>
              <w:adjustRightInd w:val="0"/>
              <w:snapToGrid w:val="0"/>
              <w:jc w:val="left"/>
              <w:rPr>
                <w:color w:val="000000"/>
                <w:szCs w:val="21"/>
              </w:rPr>
            </w:pPr>
            <w:r>
              <w:rPr>
                <w:color w:val="000000"/>
                <w:szCs w:val="21"/>
              </w:rPr>
              <w:t>除依法不予公开的外，重大行政决策事项充分听取社会公众意见，并向社会及时反馈意见采纳情况和理由。如向社会公开征求意见的，征求意见期限一般不少于30日。</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40</w:t>
            </w:r>
          </w:p>
        </w:tc>
        <w:tc>
          <w:tcPr>
            <w:tcW w:w="9555" w:type="dxa"/>
            <w:vAlign w:val="center"/>
          </w:tcPr>
          <w:p>
            <w:pPr>
              <w:adjustRightInd w:val="0"/>
              <w:snapToGrid w:val="0"/>
              <w:jc w:val="left"/>
              <w:rPr>
                <w:color w:val="000000"/>
                <w:szCs w:val="21"/>
              </w:rPr>
            </w:pPr>
            <w:r>
              <w:rPr>
                <w:color w:val="000000"/>
                <w:szCs w:val="21"/>
              </w:rPr>
              <w:t>重大行政决策事项涉及企业和特定群体、行业利益的，充分听取企业、行业协会商会、人民团体、社会组织、群众代表等的意见。全面推行食品安全等重大民生决策事项民意调查制度。</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690" w:type="dxa"/>
            <w:vMerge w:val="continue"/>
          </w:tcPr>
          <w:p>
            <w:pPr>
              <w:widowControl/>
              <w:adjustRightInd w:val="0"/>
              <w:snapToGrid w:val="0"/>
              <w:rPr>
                <w:rFonts w:eastAsia="黑体"/>
                <w:szCs w:val="21"/>
              </w:rPr>
            </w:pPr>
          </w:p>
        </w:tc>
        <w:tc>
          <w:tcPr>
            <w:tcW w:w="1400" w:type="dxa"/>
            <w:vMerge w:val="restart"/>
            <w:vAlign w:val="center"/>
          </w:tcPr>
          <w:p>
            <w:pPr>
              <w:adjustRightInd w:val="0"/>
              <w:snapToGrid w:val="0"/>
              <w:rPr>
                <w:color w:val="000000"/>
                <w:szCs w:val="21"/>
              </w:rPr>
            </w:pPr>
            <w:r>
              <w:rPr>
                <w:color w:val="000000"/>
                <w:szCs w:val="21"/>
              </w:rPr>
              <w:t>3.专家论证、风险评估。</w:t>
            </w:r>
          </w:p>
        </w:tc>
        <w:tc>
          <w:tcPr>
            <w:tcW w:w="546" w:type="dxa"/>
            <w:vAlign w:val="center"/>
          </w:tcPr>
          <w:p>
            <w:pPr>
              <w:adjustRightInd w:val="0"/>
              <w:snapToGrid w:val="0"/>
              <w:jc w:val="center"/>
              <w:rPr>
                <w:color w:val="000000"/>
                <w:szCs w:val="21"/>
              </w:rPr>
            </w:pPr>
            <w:r>
              <w:rPr>
                <w:color w:val="000000"/>
                <w:szCs w:val="21"/>
              </w:rPr>
              <w:t>41</w:t>
            </w:r>
          </w:p>
        </w:tc>
        <w:tc>
          <w:tcPr>
            <w:tcW w:w="9555" w:type="dxa"/>
            <w:vAlign w:val="center"/>
          </w:tcPr>
          <w:p>
            <w:pPr>
              <w:adjustRightInd w:val="0"/>
              <w:snapToGrid w:val="0"/>
              <w:jc w:val="left"/>
              <w:rPr>
                <w:color w:val="000000"/>
                <w:szCs w:val="21"/>
              </w:rPr>
            </w:pPr>
            <w:r>
              <w:rPr>
                <w:color w:val="000000"/>
                <w:szCs w:val="21"/>
              </w:rPr>
              <w:t>专家参与论证重大行政决策的程序规则明确。专业性、技术性较强的决策事项，组织专家、专业机构论证其必要性、可行性、科学性等。</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42</w:t>
            </w:r>
          </w:p>
        </w:tc>
        <w:tc>
          <w:tcPr>
            <w:tcW w:w="9555" w:type="dxa"/>
            <w:vAlign w:val="center"/>
          </w:tcPr>
          <w:p>
            <w:pPr>
              <w:adjustRightInd w:val="0"/>
              <w:snapToGrid w:val="0"/>
              <w:jc w:val="left"/>
              <w:rPr>
                <w:color w:val="000000"/>
                <w:szCs w:val="21"/>
              </w:rPr>
            </w:pPr>
            <w:r>
              <w:rPr>
                <w:color w:val="000000"/>
                <w:szCs w:val="21"/>
              </w:rPr>
              <w:t>对涉及经济社会发展和人民群众切身利益的重大政策、重大项目等决策事项，进行社会稳定、公共安全、环境和经济等方面的风险评估，形成风险评估报告。</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tcPr>
          <w:p>
            <w:pPr>
              <w:widowControl/>
              <w:adjustRightInd w:val="0"/>
              <w:snapToGrid w:val="0"/>
              <w:rPr>
                <w:rFonts w:eastAsia="黑体"/>
                <w:szCs w:val="21"/>
              </w:rPr>
            </w:pPr>
          </w:p>
        </w:tc>
        <w:tc>
          <w:tcPr>
            <w:tcW w:w="1400" w:type="dxa"/>
            <w:vMerge w:val="restart"/>
            <w:vAlign w:val="center"/>
          </w:tcPr>
          <w:p>
            <w:pPr>
              <w:adjustRightInd w:val="0"/>
              <w:snapToGrid w:val="0"/>
              <w:rPr>
                <w:color w:val="000000"/>
                <w:szCs w:val="21"/>
              </w:rPr>
            </w:pPr>
            <w:r>
              <w:rPr>
                <w:color w:val="000000"/>
                <w:szCs w:val="21"/>
              </w:rPr>
              <w:t>4.合法性审查。</w:t>
            </w:r>
          </w:p>
        </w:tc>
        <w:tc>
          <w:tcPr>
            <w:tcW w:w="546" w:type="dxa"/>
            <w:vAlign w:val="center"/>
          </w:tcPr>
          <w:p>
            <w:pPr>
              <w:adjustRightInd w:val="0"/>
              <w:snapToGrid w:val="0"/>
              <w:jc w:val="center"/>
              <w:rPr>
                <w:color w:val="000000"/>
                <w:szCs w:val="21"/>
              </w:rPr>
            </w:pPr>
            <w:r>
              <w:rPr>
                <w:color w:val="000000"/>
                <w:szCs w:val="21"/>
              </w:rPr>
              <w:t>43</w:t>
            </w:r>
          </w:p>
        </w:tc>
        <w:tc>
          <w:tcPr>
            <w:tcW w:w="9555" w:type="dxa"/>
            <w:vAlign w:val="center"/>
          </w:tcPr>
          <w:p>
            <w:pPr>
              <w:adjustRightInd w:val="0"/>
              <w:snapToGrid w:val="0"/>
              <w:jc w:val="left"/>
              <w:rPr>
                <w:color w:val="000000"/>
                <w:szCs w:val="21"/>
              </w:rPr>
            </w:pPr>
            <w:r>
              <w:rPr>
                <w:color w:val="000000"/>
                <w:szCs w:val="21"/>
              </w:rPr>
              <w:t>重大行政决策全部经合法性审查，不存在未经合法性审查或经合法性审查不合法仍提交决策机关讨论的情形；没有以征求意见等方式代替合法性审查的情况。</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44</w:t>
            </w:r>
          </w:p>
        </w:tc>
        <w:tc>
          <w:tcPr>
            <w:tcW w:w="9555" w:type="dxa"/>
            <w:vAlign w:val="center"/>
          </w:tcPr>
          <w:p>
            <w:pPr>
              <w:adjustRightInd w:val="0"/>
              <w:snapToGrid w:val="0"/>
              <w:jc w:val="left"/>
              <w:rPr>
                <w:color w:val="000000"/>
                <w:szCs w:val="21"/>
              </w:rPr>
            </w:pPr>
            <w:r>
              <w:rPr>
                <w:color w:val="000000"/>
                <w:szCs w:val="21"/>
              </w:rPr>
              <w:t>设立法律顾问、公职律师，不存在法律顾问“聘而不用”的情形。</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tcPr>
          <w:p>
            <w:pPr>
              <w:widowControl/>
              <w:adjustRightInd w:val="0"/>
              <w:snapToGrid w:val="0"/>
              <w:rPr>
                <w:rFonts w:eastAsia="黑体"/>
                <w:szCs w:val="21"/>
              </w:rPr>
            </w:pPr>
          </w:p>
        </w:tc>
        <w:tc>
          <w:tcPr>
            <w:tcW w:w="1400" w:type="dxa"/>
            <w:vMerge w:val="restart"/>
            <w:vAlign w:val="center"/>
          </w:tcPr>
          <w:p>
            <w:pPr>
              <w:adjustRightInd w:val="0"/>
              <w:snapToGrid w:val="0"/>
              <w:rPr>
                <w:color w:val="000000"/>
                <w:szCs w:val="21"/>
              </w:rPr>
            </w:pPr>
            <w:r>
              <w:rPr>
                <w:color w:val="000000"/>
                <w:szCs w:val="21"/>
              </w:rPr>
              <w:t>5.集体讨论决定。</w:t>
            </w:r>
          </w:p>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45</w:t>
            </w:r>
          </w:p>
        </w:tc>
        <w:tc>
          <w:tcPr>
            <w:tcW w:w="9555" w:type="dxa"/>
            <w:vAlign w:val="center"/>
          </w:tcPr>
          <w:p>
            <w:pPr>
              <w:adjustRightInd w:val="0"/>
              <w:snapToGrid w:val="0"/>
              <w:jc w:val="left"/>
              <w:rPr>
                <w:color w:val="000000"/>
                <w:szCs w:val="21"/>
              </w:rPr>
            </w:pPr>
            <w:r>
              <w:rPr>
                <w:color w:val="000000"/>
                <w:szCs w:val="21"/>
              </w:rPr>
              <w:t>重大行政决策集体讨论率达100%。集体讨论决定情况全部如实记录，不同意见如实载明。</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46</w:t>
            </w:r>
          </w:p>
        </w:tc>
        <w:tc>
          <w:tcPr>
            <w:tcW w:w="9555" w:type="dxa"/>
            <w:vAlign w:val="center"/>
          </w:tcPr>
          <w:p>
            <w:pPr>
              <w:adjustRightInd w:val="0"/>
              <w:snapToGrid w:val="0"/>
              <w:jc w:val="left"/>
              <w:rPr>
                <w:color w:val="000000"/>
                <w:szCs w:val="21"/>
              </w:rPr>
            </w:pPr>
            <w:r>
              <w:rPr>
                <w:color w:val="000000"/>
                <w:szCs w:val="21"/>
              </w:rPr>
              <w:t>行政首长在重大行政决策集体讨论会议上最后发言，并在集体讨论基础上作出决定。行政首长拟作出的决定与会议组成人员多数人的意见不一致的，在会上说明理由。</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47</w:t>
            </w:r>
          </w:p>
        </w:tc>
        <w:tc>
          <w:tcPr>
            <w:tcW w:w="9555" w:type="dxa"/>
            <w:vAlign w:val="center"/>
          </w:tcPr>
          <w:p>
            <w:pPr>
              <w:adjustRightInd w:val="0"/>
              <w:snapToGrid w:val="0"/>
              <w:jc w:val="left"/>
              <w:rPr>
                <w:color w:val="000000"/>
                <w:szCs w:val="21"/>
              </w:rPr>
            </w:pPr>
            <w:r>
              <w:rPr>
                <w:color w:val="000000"/>
                <w:szCs w:val="21"/>
              </w:rPr>
              <w:t>建立重大行政决策全过程记录、材料归档和档案管理制度，实现重大行政决策年度目录事项全部立卷归档。</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tcPr>
          <w:p>
            <w:pPr>
              <w:widowControl/>
              <w:adjustRightInd w:val="0"/>
              <w:snapToGrid w:val="0"/>
              <w:rPr>
                <w:rFonts w:eastAsia="黑体"/>
                <w:szCs w:val="21"/>
              </w:rPr>
            </w:pPr>
          </w:p>
        </w:tc>
        <w:tc>
          <w:tcPr>
            <w:tcW w:w="1400" w:type="dxa"/>
            <w:vMerge w:val="restart"/>
            <w:vAlign w:val="center"/>
          </w:tcPr>
          <w:p>
            <w:pPr>
              <w:adjustRightInd w:val="0"/>
              <w:snapToGrid w:val="0"/>
              <w:rPr>
                <w:color w:val="000000"/>
                <w:szCs w:val="21"/>
              </w:rPr>
            </w:pPr>
            <w:r>
              <w:rPr>
                <w:color w:val="000000"/>
                <w:szCs w:val="21"/>
              </w:rPr>
              <w:t>6.强化决策规范化建设。</w:t>
            </w:r>
          </w:p>
        </w:tc>
        <w:tc>
          <w:tcPr>
            <w:tcW w:w="546" w:type="dxa"/>
            <w:vAlign w:val="center"/>
          </w:tcPr>
          <w:p>
            <w:pPr>
              <w:adjustRightInd w:val="0"/>
              <w:snapToGrid w:val="0"/>
              <w:jc w:val="center"/>
              <w:rPr>
                <w:color w:val="000000"/>
                <w:szCs w:val="21"/>
              </w:rPr>
            </w:pPr>
            <w:r>
              <w:rPr>
                <w:color w:val="000000"/>
                <w:szCs w:val="21"/>
              </w:rPr>
              <w:t>48</w:t>
            </w:r>
          </w:p>
        </w:tc>
        <w:tc>
          <w:tcPr>
            <w:tcW w:w="9555" w:type="dxa"/>
            <w:vAlign w:val="center"/>
          </w:tcPr>
          <w:p>
            <w:pPr>
              <w:adjustRightInd w:val="0"/>
              <w:snapToGrid w:val="0"/>
              <w:jc w:val="left"/>
              <w:rPr>
                <w:color w:val="000000"/>
                <w:szCs w:val="21"/>
              </w:rPr>
            </w:pPr>
            <w:r>
              <w:rPr>
                <w:color w:val="000000"/>
                <w:szCs w:val="21"/>
              </w:rPr>
              <w:t>建立决策机关跟踪重大行政决策执行情况和实施效果制度，对重大行政决策实施后明显未达到预期效果，公民、法人或者其他组织提出较多意见的重大行政决策进行决策后评估。</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690" w:type="dxa"/>
            <w:vMerge w:val="continue"/>
          </w:tcPr>
          <w:p>
            <w:pPr>
              <w:widowControl/>
              <w:adjustRightInd w:val="0"/>
              <w:snapToGrid w:val="0"/>
              <w:rPr>
                <w:rFonts w:eastAsia="黑体"/>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49</w:t>
            </w:r>
          </w:p>
        </w:tc>
        <w:tc>
          <w:tcPr>
            <w:tcW w:w="9555" w:type="dxa"/>
            <w:vAlign w:val="center"/>
          </w:tcPr>
          <w:p>
            <w:pPr>
              <w:adjustRightInd w:val="0"/>
              <w:snapToGrid w:val="0"/>
              <w:jc w:val="left"/>
              <w:rPr>
                <w:color w:val="000000"/>
                <w:szCs w:val="21"/>
              </w:rPr>
            </w:pPr>
            <w:r>
              <w:rPr>
                <w:color w:val="000000"/>
                <w:szCs w:val="21"/>
              </w:rPr>
              <w:t>制定重大行政决策终身责任追究制度和责任倒查的具体实施办法。重大行政决策情况作为年度考核评价决策机关及其领导人员的重要内容。</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Align w:val="center"/>
          </w:tcPr>
          <w:p>
            <w:pPr>
              <w:adjustRightInd w:val="0"/>
              <w:snapToGrid w:val="0"/>
              <w:jc w:val="center"/>
              <w:rPr>
                <w:rFonts w:eastAsia="黑体"/>
                <w:color w:val="000000"/>
                <w:szCs w:val="21"/>
              </w:rPr>
            </w:pPr>
            <w:r>
              <w:rPr>
                <w:rFonts w:eastAsia="黑体"/>
                <w:color w:val="000000"/>
                <w:szCs w:val="21"/>
              </w:rPr>
              <w:t>一级</w:t>
            </w:r>
          </w:p>
          <w:p>
            <w:pPr>
              <w:adjustRightInd w:val="0"/>
              <w:snapToGrid w:val="0"/>
              <w:jc w:val="center"/>
              <w:rPr>
                <w:rFonts w:eastAsia="黑体"/>
                <w:color w:val="000000"/>
                <w:szCs w:val="21"/>
              </w:rPr>
            </w:pPr>
            <w:r>
              <w:rPr>
                <w:rFonts w:eastAsia="黑体"/>
                <w:color w:val="000000"/>
                <w:szCs w:val="21"/>
              </w:rPr>
              <w:t>指标</w:t>
            </w:r>
          </w:p>
        </w:tc>
        <w:tc>
          <w:tcPr>
            <w:tcW w:w="1400" w:type="dxa"/>
            <w:vAlign w:val="center"/>
          </w:tcPr>
          <w:p>
            <w:pPr>
              <w:adjustRightInd w:val="0"/>
              <w:snapToGrid w:val="0"/>
              <w:jc w:val="center"/>
              <w:rPr>
                <w:rFonts w:eastAsia="黑体"/>
                <w:color w:val="000000"/>
                <w:szCs w:val="21"/>
              </w:rPr>
            </w:pPr>
            <w:r>
              <w:rPr>
                <w:rFonts w:eastAsia="黑体"/>
                <w:color w:val="000000"/>
                <w:szCs w:val="21"/>
              </w:rPr>
              <w:t>二级指标</w:t>
            </w:r>
          </w:p>
        </w:tc>
        <w:tc>
          <w:tcPr>
            <w:tcW w:w="546" w:type="dxa"/>
            <w:vAlign w:val="center"/>
          </w:tcPr>
          <w:p>
            <w:pPr>
              <w:adjustRightInd w:val="0"/>
              <w:snapToGrid w:val="0"/>
              <w:jc w:val="center"/>
              <w:rPr>
                <w:rFonts w:eastAsia="黑体"/>
                <w:color w:val="000000"/>
                <w:szCs w:val="21"/>
              </w:rPr>
            </w:pPr>
            <w:r>
              <w:rPr>
                <w:rFonts w:eastAsia="黑体"/>
                <w:color w:val="000000"/>
                <w:szCs w:val="21"/>
              </w:rPr>
              <w:t>序号</w:t>
            </w:r>
          </w:p>
        </w:tc>
        <w:tc>
          <w:tcPr>
            <w:tcW w:w="9555" w:type="dxa"/>
            <w:vAlign w:val="center"/>
          </w:tcPr>
          <w:p>
            <w:pPr>
              <w:adjustRightInd w:val="0"/>
              <w:snapToGrid w:val="0"/>
              <w:jc w:val="center"/>
              <w:rPr>
                <w:rFonts w:eastAsia="黑体"/>
                <w:color w:val="000000"/>
                <w:szCs w:val="21"/>
              </w:rPr>
            </w:pPr>
            <w:r>
              <w:rPr>
                <w:rFonts w:eastAsia="黑体"/>
                <w:color w:val="000000"/>
                <w:szCs w:val="21"/>
              </w:rPr>
              <w:t>三级指标</w:t>
            </w:r>
          </w:p>
        </w:tc>
        <w:tc>
          <w:tcPr>
            <w:tcW w:w="1985" w:type="dxa"/>
            <w:vAlign w:val="center"/>
          </w:tcPr>
          <w:p>
            <w:pPr>
              <w:adjustRightInd w:val="0"/>
              <w:snapToGrid w:val="0"/>
              <w:jc w:val="center"/>
              <w:rPr>
                <w:rFonts w:eastAsia="黑体"/>
                <w:color w:val="000000"/>
                <w:szCs w:val="21"/>
              </w:rPr>
            </w:pPr>
            <w:r>
              <w:rPr>
                <w:rFonts w:eastAsia="黑体"/>
                <w:color w:val="000000"/>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690" w:type="dxa"/>
            <w:vMerge w:val="restart"/>
            <w:vAlign w:val="center"/>
          </w:tcPr>
          <w:p>
            <w:pPr>
              <w:widowControl/>
              <w:adjustRightInd w:val="0"/>
              <w:snapToGrid w:val="0"/>
              <w:jc w:val="center"/>
              <w:rPr>
                <w:rFonts w:eastAsia="黑体"/>
                <w:color w:val="000000"/>
                <w:szCs w:val="21"/>
              </w:rPr>
            </w:pPr>
            <w:r>
              <w:rPr>
                <w:rFonts w:hAnsi="黑体" w:eastAsia="黑体"/>
                <w:color w:val="000000"/>
                <w:szCs w:val="21"/>
              </w:rPr>
              <w:t>四、</w:t>
            </w:r>
          </w:p>
          <w:p>
            <w:pPr>
              <w:widowControl/>
              <w:adjustRightInd w:val="0"/>
              <w:snapToGrid w:val="0"/>
              <w:jc w:val="center"/>
              <w:rPr>
                <w:color w:val="000000"/>
                <w:szCs w:val="21"/>
              </w:rPr>
            </w:pPr>
            <w:r>
              <w:rPr>
                <w:rFonts w:hAnsi="黑体" w:eastAsia="黑体"/>
                <w:color w:val="000000"/>
                <w:szCs w:val="21"/>
              </w:rPr>
              <w:t>行政执法严格规范公正文明</w:t>
            </w:r>
          </w:p>
        </w:tc>
        <w:tc>
          <w:tcPr>
            <w:tcW w:w="1400" w:type="dxa"/>
            <w:vMerge w:val="restart"/>
            <w:vAlign w:val="center"/>
          </w:tcPr>
          <w:p>
            <w:pPr>
              <w:adjustRightInd w:val="0"/>
              <w:snapToGrid w:val="0"/>
              <w:rPr>
                <w:color w:val="000000"/>
                <w:szCs w:val="21"/>
              </w:rPr>
            </w:pPr>
            <w:r>
              <w:rPr>
                <w:color w:val="000000"/>
                <w:szCs w:val="21"/>
              </w:rPr>
              <w:t>1.行政执法体制权责统一、权威高效。</w:t>
            </w:r>
          </w:p>
        </w:tc>
        <w:tc>
          <w:tcPr>
            <w:tcW w:w="546" w:type="dxa"/>
            <w:vAlign w:val="center"/>
          </w:tcPr>
          <w:p>
            <w:pPr>
              <w:adjustRightInd w:val="0"/>
              <w:snapToGrid w:val="0"/>
              <w:jc w:val="center"/>
              <w:rPr>
                <w:color w:val="000000"/>
                <w:szCs w:val="21"/>
              </w:rPr>
            </w:pPr>
            <w:r>
              <w:rPr>
                <w:color w:val="000000"/>
                <w:szCs w:val="21"/>
              </w:rPr>
              <w:t>50</w:t>
            </w:r>
          </w:p>
        </w:tc>
        <w:tc>
          <w:tcPr>
            <w:tcW w:w="9555" w:type="dxa"/>
            <w:vAlign w:val="center"/>
          </w:tcPr>
          <w:p>
            <w:pPr>
              <w:adjustRightInd w:val="0"/>
              <w:snapToGrid w:val="0"/>
              <w:jc w:val="left"/>
              <w:rPr>
                <w:color w:val="000000"/>
                <w:szCs w:val="21"/>
              </w:rPr>
            </w:pPr>
            <w:r>
              <w:rPr>
                <w:color w:val="000000"/>
                <w:szCs w:val="21"/>
              </w:rPr>
              <w:t>积极推进市场监管综合执法，市场监管综合执法队伍整合组建完成。</w:t>
            </w:r>
          </w:p>
        </w:tc>
        <w:tc>
          <w:tcPr>
            <w:tcW w:w="1985" w:type="dxa"/>
            <w:vMerge w:val="restart"/>
            <w:vAlign w:val="center"/>
          </w:tcPr>
          <w:p>
            <w:pPr>
              <w:widowControl/>
              <w:adjustRightInd w:val="0"/>
              <w:snapToGrid w:val="0"/>
              <w:jc w:val="center"/>
              <w:rPr>
                <w:rFonts w:eastAsia="黑体"/>
                <w:szCs w:val="21"/>
              </w:rPr>
            </w:pPr>
            <w:r>
              <w:rPr>
                <w:rFonts w:hAnsi="黑体" w:eastAsia="黑体"/>
                <w:szCs w:val="21"/>
              </w:rPr>
              <w:t>市市场监管综合执法支队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90" w:type="dxa"/>
            <w:vMerge w:val="continue"/>
          </w:tcPr>
          <w:p>
            <w:pPr>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51</w:t>
            </w:r>
          </w:p>
        </w:tc>
        <w:tc>
          <w:tcPr>
            <w:tcW w:w="9555" w:type="dxa"/>
            <w:vAlign w:val="center"/>
          </w:tcPr>
          <w:p>
            <w:pPr>
              <w:adjustRightInd w:val="0"/>
              <w:snapToGrid w:val="0"/>
              <w:jc w:val="left"/>
              <w:rPr>
                <w:color w:val="000000"/>
                <w:szCs w:val="21"/>
              </w:rPr>
            </w:pPr>
            <w:r>
              <w:rPr>
                <w:color w:val="000000"/>
                <w:szCs w:val="21"/>
              </w:rPr>
              <w:t>创新行政执法方式，推广运用说服教育、劝导示范等非强制性执法手段。</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690" w:type="dxa"/>
            <w:vMerge w:val="continue"/>
          </w:tcPr>
          <w:p>
            <w:pPr>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52</w:t>
            </w:r>
          </w:p>
        </w:tc>
        <w:tc>
          <w:tcPr>
            <w:tcW w:w="9555" w:type="dxa"/>
            <w:vAlign w:val="center"/>
          </w:tcPr>
          <w:p>
            <w:pPr>
              <w:adjustRightInd w:val="0"/>
              <w:snapToGrid w:val="0"/>
              <w:jc w:val="left"/>
              <w:rPr>
                <w:color w:val="000000"/>
                <w:szCs w:val="21"/>
              </w:rPr>
            </w:pPr>
            <w:r>
              <w:rPr>
                <w:color w:val="000000"/>
                <w:szCs w:val="21"/>
              </w:rPr>
              <w:t>行政执法权限协调机制已经建立完善并有明确的协调机关负责。</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690" w:type="dxa"/>
            <w:vMerge w:val="continue"/>
          </w:tcPr>
          <w:p>
            <w:pPr>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53</w:t>
            </w:r>
          </w:p>
        </w:tc>
        <w:tc>
          <w:tcPr>
            <w:tcW w:w="9555" w:type="dxa"/>
            <w:vAlign w:val="center"/>
          </w:tcPr>
          <w:p>
            <w:pPr>
              <w:adjustRightInd w:val="0"/>
              <w:snapToGrid w:val="0"/>
              <w:jc w:val="left"/>
              <w:rPr>
                <w:szCs w:val="21"/>
              </w:rPr>
            </w:pPr>
            <w:r>
              <w:rPr>
                <w:szCs w:val="21"/>
              </w:rPr>
              <w:t>健全行政执法和刑事司法衔接机制，信息共享、案情通报、案件移送制度建立并全面执行，不存在有案不移、有案难移、以罚代刑现象。</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90" w:type="dxa"/>
            <w:vMerge w:val="continue"/>
          </w:tcPr>
          <w:p>
            <w:pPr>
              <w:adjustRightInd w:val="0"/>
              <w:snapToGrid w:val="0"/>
              <w:jc w:val="center"/>
              <w:rPr>
                <w:color w:val="000000"/>
                <w:szCs w:val="21"/>
              </w:rPr>
            </w:pPr>
          </w:p>
        </w:tc>
        <w:tc>
          <w:tcPr>
            <w:tcW w:w="1400" w:type="dxa"/>
            <w:vMerge w:val="restart"/>
            <w:vAlign w:val="center"/>
          </w:tcPr>
          <w:p>
            <w:pPr>
              <w:adjustRightInd w:val="0"/>
              <w:snapToGrid w:val="0"/>
              <w:rPr>
                <w:color w:val="000000"/>
                <w:szCs w:val="21"/>
              </w:rPr>
            </w:pPr>
            <w:r>
              <w:rPr>
                <w:color w:val="000000"/>
                <w:szCs w:val="21"/>
              </w:rPr>
              <w:t>2.全面推行行政执法公示制度。</w:t>
            </w:r>
          </w:p>
        </w:tc>
        <w:tc>
          <w:tcPr>
            <w:tcW w:w="546" w:type="dxa"/>
            <w:vAlign w:val="center"/>
          </w:tcPr>
          <w:p>
            <w:pPr>
              <w:adjustRightInd w:val="0"/>
              <w:snapToGrid w:val="0"/>
              <w:jc w:val="center"/>
              <w:rPr>
                <w:color w:val="000000"/>
                <w:szCs w:val="21"/>
              </w:rPr>
            </w:pPr>
            <w:r>
              <w:rPr>
                <w:color w:val="000000"/>
                <w:szCs w:val="21"/>
              </w:rPr>
              <w:t>54</w:t>
            </w:r>
          </w:p>
        </w:tc>
        <w:tc>
          <w:tcPr>
            <w:tcW w:w="9555" w:type="dxa"/>
            <w:vAlign w:val="center"/>
          </w:tcPr>
          <w:p>
            <w:pPr>
              <w:adjustRightInd w:val="0"/>
              <w:snapToGrid w:val="0"/>
              <w:jc w:val="left"/>
              <w:rPr>
                <w:szCs w:val="21"/>
              </w:rPr>
            </w:pPr>
            <w:r>
              <w:rPr>
                <w:szCs w:val="21"/>
              </w:rPr>
              <w:t>行政执法主体、权限、依据、程序、救济渠道和随机抽查事项清单等信息全面准确及时主动公开；公开信息简明扼要、通俗易懂，并进行动态调整。</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90" w:type="dxa"/>
            <w:vMerge w:val="continue"/>
          </w:tcPr>
          <w:p>
            <w:pPr>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55</w:t>
            </w:r>
          </w:p>
        </w:tc>
        <w:tc>
          <w:tcPr>
            <w:tcW w:w="9555" w:type="dxa"/>
            <w:vAlign w:val="center"/>
          </w:tcPr>
          <w:p>
            <w:pPr>
              <w:adjustRightInd w:val="0"/>
              <w:snapToGrid w:val="0"/>
              <w:jc w:val="left"/>
              <w:rPr>
                <w:szCs w:val="21"/>
              </w:rPr>
            </w:pPr>
            <w:r>
              <w:rPr>
                <w:szCs w:val="21"/>
              </w:rPr>
              <w:t>严格执行2人以上执法规定，严格执行“亮证执法”，出示或者佩戴执法证件，公示执法身份。出具执法文书，主动告知当事人执法事由、执法依据、权利义务等内容。</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90" w:type="dxa"/>
            <w:vMerge w:val="continue"/>
          </w:tcPr>
          <w:p>
            <w:pPr>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56</w:t>
            </w:r>
          </w:p>
        </w:tc>
        <w:tc>
          <w:tcPr>
            <w:tcW w:w="9555" w:type="dxa"/>
            <w:vAlign w:val="center"/>
          </w:tcPr>
          <w:p>
            <w:pPr>
              <w:adjustRightInd w:val="0"/>
              <w:snapToGrid w:val="0"/>
              <w:jc w:val="left"/>
              <w:rPr>
                <w:szCs w:val="21"/>
              </w:rPr>
            </w:pPr>
            <w:r>
              <w:rPr>
                <w:szCs w:val="21"/>
              </w:rPr>
              <w:t>每年1月31日前公开上年度行政执法情况，并报本级政府和上级主管部门。</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690" w:type="dxa"/>
            <w:vMerge w:val="continue"/>
          </w:tcPr>
          <w:p>
            <w:pPr>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57</w:t>
            </w:r>
          </w:p>
        </w:tc>
        <w:tc>
          <w:tcPr>
            <w:tcW w:w="9555" w:type="dxa"/>
            <w:vAlign w:val="center"/>
          </w:tcPr>
          <w:p>
            <w:pPr>
              <w:adjustRightInd w:val="0"/>
              <w:snapToGrid w:val="0"/>
              <w:jc w:val="left"/>
              <w:rPr>
                <w:szCs w:val="21"/>
              </w:rPr>
            </w:pPr>
            <w:r>
              <w:rPr>
                <w:szCs w:val="21"/>
              </w:rPr>
              <w:t>行政处罚信息在执法决定作出之日起7个工作日之内公开。</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690" w:type="dxa"/>
            <w:vMerge w:val="continue"/>
            <w:vAlign w:val="center"/>
          </w:tcPr>
          <w:p>
            <w:pPr>
              <w:widowControl/>
              <w:adjustRightInd w:val="0"/>
              <w:snapToGrid w:val="0"/>
              <w:jc w:val="center"/>
              <w:rPr>
                <w:color w:val="000000"/>
                <w:szCs w:val="21"/>
              </w:rPr>
            </w:pPr>
          </w:p>
        </w:tc>
        <w:tc>
          <w:tcPr>
            <w:tcW w:w="1400" w:type="dxa"/>
            <w:vMerge w:val="restart"/>
            <w:vAlign w:val="center"/>
          </w:tcPr>
          <w:p>
            <w:pPr>
              <w:adjustRightInd w:val="0"/>
              <w:snapToGrid w:val="0"/>
              <w:rPr>
                <w:color w:val="000000"/>
                <w:szCs w:val="21"/>
              </w:rPr>
            </w:pPr>
            <w:r>
              <w:rPr>
                <w:color w:val="000000"/>
                <w:szCs w:val="21"/>
              </w:rPr>
              <w:t>3.全面推行执法全过程记录制度。</w:t>
            </w:r>
          </w:p>
        </w:tc>
        <w:tc>
          <w:tcPr>
            <w:tcW w:w="546" w:type="dxa"/>
            <w:vAlign w:val="center"/>
          </w:tcPr>
          <w:p>
            <w:pPr>
              <w:adjustRightInd w:val="0"/>
              <w:snapToGrid w:val="0"/>
              <w:jc w:val="center"/>
              <w:rPr>
                <w:color w:val="000000"/>
                <w:szCs w:val="21"/>
              </w:rPr>
            </w:pPr>
            <w:r>
              <w:rPr>
                <w:color w:val="000000"/>
                <w:szCs w:val="21"/>
              </w:rPr>
              <w:t>58</w:t>
            </w:r>
          </w:p>
        </w:tc>
        <w:tc>
          <w:tcPr>
            <w:tcW w:w="9555" w:type="dxa"/>
            <w:vAlign w:val="center"/>
          </w:tcPr>
          <w:p>
            <w:pPr>
              <w:adjustRightInd w:val="0"/>
              <w:snapToGrid w:val="0"/>
              <w:jc w:val="left"/>
              <w:rPr>
                <w:szCs w:val="21"/>
              </w:rPr>
            </w:pPr>
            <w:r>
              <w:rPr>
                <w:szCs w:val="21"/>
              </w:rPr>
              <w:t>行政执法启动、调查取证、送达、执行等全过程记录，全面系统归档保存，全过程留痕和可回溯。</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690" w:type="dxa"/>
            <w:vMerge w:val="continue"/>
          </w:tcPr>
          <w:p>
            <w:pPr>
              <w:widowControl/>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59</w:t>
            </w:r>
          </w:p>
        </w:tc>
        <w:tc>
          <w:tcPr>
            <w:tcW w:w="9555" w:type="dxa"/>
            <w:vAlign w:val="center"/>
          </w:tcPr>
          <w:p>
            <w:pPr>
              <w:adjustRightInd w:val="0"/>
              <w:snapToGrid w:val="0"/>
              <w:jc w:val="left"/>
              <w:rPr>
                <w:szCs w:val="21"/>
              </w:rPr>
            </w:pPr>
            <w:r>
              <w:rPr>
                <w:szCs w:val="21"/>
              </w:rPr>
              <w:t>行政执法文字记录规范、全面、准确，执法案卷和执法文书要素齐备、填写规范、归档完整。</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tcPr>
          <w:p>
            <w:pPr>
              <w:widowControl/>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60</w:t>
            </w:r>
          </w:p>
        </w:tc>
        <w:tc>
          <w:tcPr>
            <w:tcW w:w="9555" w:type="dxa"/>
            <w:vAlign w:val="center"/>
          </w:tcPr>
          <w:p>
            <w:pPr>
              <w:adjustRightInd w:val="0"/>
              <w:snapToGrid w:val="0"/>
              <w:jc w:val="left"/>
              <w:rPr>
                <w:szCs w:val="21"/>
              </w:rPr>
            </w:pPr>
            <w:r>
              <w:rPr>
                <w:szCs w:val="21"/>
              </w:rPr>
              <w:t>根据实际情况为行政执法人员配备执法记录仪。对查封扣押财产等直接涉及重大财产权益的现场执法活动和执法办案场所，推行全程音像记录。执法音像记录管理制度已经建立并完善。</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tcPr>
          <w:p>
            <w:pPr>
              <w:widowControl/>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61</w:t>
            </w:r>
          </w:p>
        </w:tc>
        <w:tc>
          <w:tcPr>
            <w:tcW w:w="9555" w:type="dxa"/>
            <w:vAlign w:val="center"/>
          </w:tcPr>
          <w:p>
            <w:pPr>
              <w:adjustRightInd w:val="0"/>
              <w:snapToGrid w:val="0"/>
              <w:jc w:val="left"/>
              <w:rPr>
                <w:szCs w:val="21"/>
              </w:rPr>
            </w:pPr>
            <w:r>
              <w:rPr>
                <w:szCs w:val="21"/>
              </w:rPr>
              <w:t>执法全过程记录资料严格依法归档保存，对同一执法对象的文字、音像记录进行集中储存，推行“一户式”集中储存；建立和完善行政执法全过程数据化记录工作机制和数字化归档管理制度。</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90" w:type="dxa"/>
            <w:vMerge w:val="continue"/>
          </w:tcPr>
          <w:p>
            <w:pPr>
              <w:widowControl/>
              <w:adjustRightInd w:val="0"/>
              <w:snapToGrid w:val="0"/>
              <w:jc w:val="center"/>
              <w:rPr>
                <w:color w:val="000000"/>
                <w:szCs w:val="21"/>
              </w:rPr>
            </w:pPr>
          </w:p>
        </w:tc>
        <w:tc>
          <w:tcPr>
            <w:tcW w:w="1400" w:type="dxa"/>
            <w:vMerge w:val="restart"/>
            <w:vAlign w:val="center"/>
          </w:tcPr>
          <w:p>
            <w:pPr>
              <w:adjustRightInd w:val="0"/>
              <w:snapToGrid w:val="0"/>
              <w:rPr>
                <w:color w:val="000000"/>
                <w:szCs w:val="21"/>
              </w:rPr>
            </w:pPr>
            <w:r>
              <w:rPr>
                <w:color w:val="000000"/>
                <w:szCs w:val="21"/>
              </w:rPr>
              <w:t>4.全面推行重大执法决定法制审核。</w:t>
            </w:r>
          </w:p>
        </w:tc>
        <w:tc>
          <w:tcPr>
            <w:tcW w:w="546" w:type="dxa"/>
            <w:vAlign w:val="center"/>
          </w:tcPr>
          <w:p>
            <w:pPr>
              <w:adjustRightInd w:val="0"/>
              <w:snapToGrid w:val="0"/>
              <w:jc w:val="center"/>
              <w:rPr>
                <w:color w:val="000000"/>
                <w:szCs w:val="21"/>
              </w:rPr>
            </w:pPr>
            <w:r>
              <w:rPr>
                <w:color w:val="000000"/>
                <w:szCs w:val="21"/>
              </w:rPr>
              <w:t>62</w:t>
            </w:r>
          </w:p>
        </w:tc>
        <w:tc>
          <w:tcPr>
            <w:tcW w:w="9555" w:type="dxa"/>
            <w:vAlign w:val="center"/>
          </w:tcPr>
          <w:p>
            <w:pPr>
              <w:adjustRightInd w:val="0"/>
              <w:snapToGrid w:val="0"/>
              <w:jc w:val="left"/>
              <w:rPr>
                <w:szCs w:val="21"/>
              </w:rPr>
            </w:pPr>
            <w:r>
              <w:rPr>
                <w:szCs w:val="21"/>
              </w:rPr>
              <w:t>重大执法决定法制审核制度执行比率达100%。</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0" w:type="dxa"/>
            <w:vMerge w:val="continue"/>
          </w:tcPr>
          <w:p>
            <w:pPr>
              <w:widowControl/>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63</w:t>
            </w:r>
          </w:p>
        </w:tc>
        <w:tc>
          <w:tcPr>
            <w:tcW w:w="9555" w:type="dxa"/>
            <w:vAlign w:val="center"/>
          </w:tcPr>
          <w:p>
            <w:pPr>
              <w:adjustRightInd w:val="0"/>
              <w:snapToGrid w:val="0"/>
              <w:jc w:val="left"/>
              <w:rPr>
                <w:szCs w:val="21"/>
              </w:rPr>
            </w:pPr>
            <w:r>
              <w:rPr>
                <w:szCs w:val="21"/>
              </w:rPr>
              <w:t>重大执法决定法制审核工作机构需明确，原则上法制审核人员不少于本单位执法人员总数的5%。</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690" w:type="dxa"/>
            <w:vMerge w:val="continue"/>
          </w:tcPr>
          <w:p>
            <w:pPr>
              <w:widowControl/>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64</w:t>
            </w:r>
          </w:p>
        </w:tc>
        <w:tc>
          <w:tcPr>
            <w:tcW w:w="9555" w:type="dxa"/>
            <w:vAlign w:val="center"/>
          </w:tcPr>
          <w:p>
            <w:pPr>
              <w:adjustRightInd w:val="0"/>
              <w:snapToGrid w:val="0"/>
              <w:jc w:val="left"/>
              <w:rPr>
                <w:szCs w:val="21"/>
              </w:rPr>
            </w:pPr>
            <w:r>
              <w:rPr>
                <w:szCs w:val="21"/>
              </w:rPr>
              <w:t>制定重大执法决定法制审核目录清单。</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90" w:type="dxa"/>
            <w:vMerge w:val="continue"/>
          </w:tcPr>
          <w:p>
            <w:pPr>
              <w:widowControl/>
              <w:adjustRightInd w:val="0"/>
              <w:snapToGrid w:val="0"/>
              <w:jc w:val="center"/>
              <w:rPr>
                <w:color w:val="000000"/>
                <w:szCs w:val="21"/>
              </w:rPr>
            </w:pPr>
          </w:p>
        </w:tc>
        <w:tc>
          <w:tcPr>
            <w:tcW w:w="1400" w:type="dxa"/>
            <w:vMerge w:val="restart"/>
            <w:vAlign w:val="center"/>
          </w:tcPr>
          <w:p>
            <w:pPr>
              <w:adjustRightInd w:val="0"/>
              <w:snapToGrid w:val="0"/>
              <w:rPr>
                <w:color w:val="000000"/>
                <w:szCs w:val="21"/>
              </w:rPr>
            </w:pPr>
            <w:r>
              <w:rPr>
                <w:color w:val="000000"/>
                <w:szCs w:val="21"/>
              </w:rPr>
              <w:t>5.全面落实行政执法责任制。</w:t>
            </w:r>
          </w:p>
        </w:tc>
        <w:tc>
          <w:tcPr>
            <w:tcW w:w="546" w:type="dxa"/>
            <w:vAlign w:val="center"/>
          </w:tcPr>
          <w:p>
            <w:pPr>
              <w:adjustRightInd w:val="0"/>
              <w:snapToGrid w:val="0"/>
              <w:jc w:val="center"/>
              <w:rPr>
                <w:color w:val="000000"/>
                <w:szCs w:val="21"/>
              </w:rPr>
            </w:pPr>
            <w:r>
              <w:rPr>
                <w:color w:val="000000"/>
                <w:szCs w:val="21"/>
              </w:rPr>
              <w:t>65</w:t>
            </w:r>
          </w:p>
        </w:tc>
        <w:tc>
          <w:tcPr>
            <w:tcW w:w="9555" w:type="dxa"/>
            <w:vAlign w:val="center"/>
          </w:tcPr>
          <w:p>
            <w:pPr>
              <w:adjustRightInd w:val="0"/>
              <w:snapToGrid w:val="0"/>
              <w:jc w:val="left"/>
              <w:rPr>
                <w:szCs w:val="21"/>
              </w:rPr>
            </w:pPr>
            <w:r>
              <w:rPr>
                <w:szCs w:val="21"/>
              </w:rPr>
              <w:t>建立行政执法日常检查监督机制，每年至少组织1次行政执法案卷评查、抽查等形式的检查工作。</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tcPr>
          <w:p>
            <w:pPr>
              <w:widowControl/>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66</w:t>
            </w:r>
          </w:p>
        </w:tc>
        <w:tc>
          <w:tcPr>
            <w:tcW w:w="9555" w:type="dxa"/>
            <w:vAlign w:val="center"/>
          </w:tcPr>
          <w:p>
            <w:pPr>
              <w:adjustRightInd w:val="0"/>
              <w:snapToGrid w:val="0"/>
              <w:jc w:val="left"/>
              <w:rPr>
                <w:szCs w:val="21"/>
              </w:rPr>
            </w:pPr>
            <w:r>
              <w:rPr>
                <w:szCs w:val="21"/>
              </w:rPr>
              <w:t>建立行政执法投诉举报、情况通报等制度。群众举报的违法行为得到及时查处。创建周期内没有发生因违法执法或者执法不当造成恶劣社会影响的情形。</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tcPr>
          <w:p>
            <w:pPr>
              <w:widowControl/>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67</w:t>
            </w:r>
          </w:p>
        </w:tc>
        <w:tc>
          <w:tcPr>
            <w:tcW w:w="9555" w:type="dxa"/>
            <w:vAlign w:val="center"/>
          </w:tcPr>
          <w:p>
            <w:pPr>
              <w:adjustRightInd w:val="0"/>
              <w:snapToGrid w:val="0"/>
              <w:jc w:val="left"/>
              <w:rPr>
                <w:szCs w:val="21"/>
              </w:rPr>
            </w:pPr>
            <w:r>
              <w:rPr>
                <w:szCs w:val="21"/>
              </w:rPr>
              <w:t>全面实行行政执法机关内部人员干预、插手案件办理的记录、通报和责任追究制度；健全执法过错纠正和责任追究程序，实行错案责任倒查问责制。</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90" w:type="dxa"/>
            <w:vMerge w:val="continue"/>
          </w:tcPr>
          <w:p>
            <w:pPr>
              <w:widowControl/>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68</w:t>
            </w:r>
          </w:p>
        </w:tc>
        <w:tc>
          <w:tcPr>
            <w:tcW w:w="9555" w:type="dxa"/>
            <w:vAlign w:val="center"/>
          </w:tcPr>
          <w:p>
            <w:pPr>
              <w:adjustRightInd w:val="0"/>
              <w:snapToGrid w:val="0"/>
              <w:jc w:val="left"/>
              <w:rPr>
                <w:szCs w:val="21"/>
              </w:rPr>
            </w:pPr>
            <w:r>
              <w:rPr>
                <w:szCs w:val="21"/>
              </w:rPr>
              <w:t>行政执法人员公共法律、新法律法规等专题培训不少于40学时。行政执法着装管理规范。</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690" w:type="dxa"/>
            <w:vMerge w:val="continue"/>
            <w:vAlign w:val="center"/>
          </w:tcPr>
          <w:p>
            <w:pPr>
              <w:widowControl/>
              <w:adjustRightInd w:val="0"/>
              <w:snapToGrid w:val="0"/>
              <w:jc w:val="center"/>
              <w:rPr>
                <w:color w:val="000000"/>
                <w:szCs w:val="21"/>
              </w:rPr>
            </w:pPr>
          </w:p>
        </w:tc>
        <w:tc>
          <w:tcPr>
            <w:tcW w:w="1400" w:type="dxa"/>
            <w:vMerge w:val="restart"/>
            <w:vAlign w:val="center"/>
          </w:tcPr>
          <w:p>
            <w:pPr>
              <w:adjustRightInd w:val="0"/>
              <w:snapToGrid w:val="0"/>
              <w:rPr>
                <w:color w:val="000000"/>
                <w:szCs w:val="21"/>
              </w:rPr>
            </w:pPr>
            <w:r>
              <w:rPr>
                <w:color w:val="000000"/>
                <w:szCs w:val="21"/>
              </w:rPr>
              <w:t>6.健全行政执法人员管理制度。</w:t>
            </w:r>
          </w:p>
        </w:tc>
        <w:tc>
          <w:tcPr>
            <w:tcW w:w="546" w:type="dxa"/>
            <w:vAlign w:val="center"/>
          </w:tcPr>
          <w:p>
            <w:pPr>
              <w:adjustRightInd w:val="0"/>
              <w:snapToGrid w:val="0"/>
              <w:jc w:val="center"/>
              <w:rPr>
                <w:color w:val="000000"/>
                <w:szCs w:val="21"/>
              </w:rPr>
            </w:pPr>
            <w:r>
              <w:rPr>
                <w:color w:val="000000"/>
                <w:szCs w:val="21"/>
              </w:rPr>
              <w:t>69</w:t>
            </w:r>
          </w:p>
        </w:tc>
        <w:tc>
          <w:tcPr>
            <w:tcW w:w="9555" w:type="dxa"/>
            <w:vAlign w:val="center"/>
          </w:tcPr>
          <w:p>
            <w:pPr>
              <w:adjustRightInd w:val="0"/>
              <w:snapToGrid w:val="0"/>
              <w:jc w:val="left"/>
              <w:rPr>
                <w:color w:val="000000"/>
                <w:szCs w:val="21"/>
              </w:rPr>
            </w:pPr>
            <w:r>
              <w:rPr>
                <w:color w:val="000000"/>
                <w:szCs w:val="21"/>
              </w:rPr>
              <w:t>执法辅助人员管理得到规范。</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690" w:type="dxa"/>
            <w:vMerge w:val="continue"/>
          </w:tcPr>
          <w:p>
            <w:pPr>
              <w:widowControl/>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70</w:t>
            </w:r>
          </w:p>
        </w:tc>
        <w:tc>
          <w:tcPr>
            <w:tcW w:w="9555" w:type="dxa"/>
            <w:vAlign w:val="center"/>
          </w:tcPr>
          <w:p>
            <w:pPr>
              <w:adjustRightInd w:val="0"/>
              <w:snapToGrid w:val="0"/>
              <w:jc w:val="left"/>
              <w:rPr>
                <w:color w:val="000000"/>
                <w:szCs w:val="21"/>
              </w:rPr>
            </w:pPr>
            <w:r>
              <w:rPr>
                <w:color w:val="000000"/>
                <w:szCs w:val="21"/>
              </w:rPr>
              <w:t>机关和领导干部支持行政执法机关依法公正行使职权。</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trPr>
        <w:tc>
          <w:tcPr>
            <w:tcW w:w="690" w:type="dxa"/>
            <w:vMerge w:val="continue"/>
          </w:tcPr>
          <w:p>
            <w:pPr>
              <w:widowControl/>
              <w:adjustRightInd w:val="0"/>
              <w:snapToGrid w:val="0"/>
              <w:jc w:val="center"/>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71</w:t>
            </w:r>
          </w:p>
        </w:tc>
        <w:tc>
          <w:tcPr>
            <w:tcW w:w="9555" w:type="dxa"/>
            <w:vAlign w:val="center"/>
          </w:tcPr>
          <w:p>
            <w:pPr>
              <w:adjustRightInd w:val="0"/>
              <w:snapToGrid w:val="0"/>
              <w:jc w:val="left"/>
              <w:rPr>
                <w:color w:val="000000"/>
                <w:szCs w:val="21"/>
              </w:rPr>
            </w:pPr>
            <w:r>
              <w:rPr>
                <w:color w:val="000000"/>
                <w:szCs w:val="21"/>
              </w:rPr>
              <w:t>行政执法经费统一纳入财政预算予以保障，罚缴分离和收支两条线管理制度得到有效贯彻。</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trPr>
        <w:tc>
          <w:tcPr>
            <w:tcW w:w="690" w:type="dxa"/>
            <w:vAlign w:val="center"/>
          </w:tcPr>
          <w:p>
            <w:pPr>
              <w:adjustRightInd w:val="0"/>
              <w:snapToGrid w:val="0"/>
              <w:jc w:val="center"/>
              <w:rPr>
                <w:rFonts w:eastAsia="黑体"/>
                <w:color w:val="000000"/>
                <w:szCs w:val="21"/>
              </w:rPr>
            </w:pPr>
            <w:r>
              <w:rPr>
                <w:rFonts w:eastAsia="黑体"/>
                <w:color w:val="000000"/>
                <w:szCs w:val="21"/>
              </w:rPr>
              <w:t>一级</w:t>
            </w:r>
          </w:p>
          <w:p>
            <w:pPr>
              <w:adjustRightInd w:val="0"/>
              <w:snapToGrid w:val="0"/>
              <w:jc w:val="center"/>
              <w:rPr>
                <w:rFonts w:eastAsia="黑体"/>
                <w:color w:val="000000"/>
                <w:szCs w:val="21"/>
              </w:rPr>
            </w:pPr>
            <w:r>
              <w:rPr>
                <w:rFonts w:eastAsia="黑体"/>
                <w:color w:val="000000"/>
                <w:szCs w:val="21"/>
              </w:rPr>
              <w:t>指标</w:t>
            </w:r>
          </w:p>
        </w:tc>
        <w:tc>
          <w:tcPr>
            <w:tcW w:w="1400" w:type="dxa"/>
            <w:vAlign w:val="center"/>
          </w:tcPr>
          <w:p>
            <w:pPr>
              <w:adjustRightInd w:val="0"/>
              <w:snapToGrid w:val="0"/>
              <w:jc w:val="center"/>
              <w:rPr>
                <w:rFonts w:eastAsia="黑体"/>
                <w:color w:val="000000"/>
                <w:szCs w:val="21"/>
              </w:rPr>
            </w:pPr>
            <w:r>
              <w:rPr>
                <w:rFonts w:eastAsia="黑体"/>
                <w:color w:val="000000"/>
                <w:szCs w:val="21"/>
              </w:rPr>
              <w:t>二级指标</w:t>
            </w:r>
          </w:p>
        </w:tc>
        <w:tc>
          <w:tcPr>
            <w:tcW w:w="546" w:type="dxa"/>
            <w:vAlign w:val="center"/>
          </w:tcPr>
          <w:p>
            <w:pPr>
              <w:adjustRightInd w:val="0"/>
              <w:snapToGrid w:val="0"/>
              <w:jc w:val="center"/>
              <w:rPr>
                <w:rFonts w:eastAsia="黑体"/>
                <w:color w:val="000000"/>
                <w:szCs w:val="21"/>
              </w:rPr>
            </w:pPr>
            <w:r>
              <w:rPr>
                <w:rFonts w:eastAsia="黑体"/>
                <w:color w:val="000000"/>
                <w:szCs w:val="21"/>
              </w:rPr>
              <w:t>序号</w:t>
            </w:r>
          </w:p>
        </w:tc>
        <w:tc>
          <w:tcPr>
            <w:tcW w:w="9555" w:type="dxa"/>
            <w:vAlign w:val="center"/>
          </w:tcPr>
          <w:p>
            <w:pPr>
              <w:adjustRightInd w:val="0"/>
              <w:snapToGrid w:val="0"/>
              <w:jc w:val="center"/>
              <w:rPr>
                <w:rFonts w:eastAsia="黑体"/>
                <w:color w:val="000000"/>
                <w:szCs w:val="21"/>
              </w:rPr>
            </w:pPr>
            <w:r>
              <w:rPr>
                <w:rFonts w:eastAsia="黑体"/>
                <w:color w:val="000000"/>
                <w:szCs w:val="21"/>
              </w:rPr>
              <w:t>三级指标</w:t>
            </w:r>
          </w:p>
        </w:tc>
        <w:tc>
          <w:tcPr>
            <w:tcW w:w="1985" w:type="dxa"/>
            <w:vAlign w:val="center"/>
          </w:tcPr>
          <w:p>
            <w:pPr>
              <w:adjustRightInd w:val="0"/>
              <w:snapToGrid w:val="0"/>
              <w:jc w:val="center"/>
              <w:rPr>
                <w:rFonts w:eastAsia="黑体"/>
                <w:color w:val="000000"/>
                <w:szCs w:val="21"/>
              </w:rPr>
            </w:pPr>
            <w:r>
              <w:rPr>
                <w:rFonts w:eastAsia="黑体"/>
                <w:color w:val="000000"/>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trPr>
        <w:tc>
          <w:tcPr>
            <w:tcW w:w="690" w:type="dxa"/>
            <w:vMerge w:val="restart"/>
            <w:vAlign w:val="center"/>
          </w:tcPr>
          <w:p>
            <w:pPr>
              <w:widowControl/>
              <w:adjustRightInd w:val="0"/>
              <w:snapToGrid w:val="0"/>
              <w:jc w:val="center"/>
              <w:rPr>
                <w:rFonts w:eastAsia="黑体"/>
                <w:color w:val="000000"/>
                <w:szCs w:val="21"/>
              </w:rPr>
            </w:pPr>
            <w:r>
              <w:rPr>
                <w:rFonts w:hAnsi="黑体" w:eastAsia="黑体"/>
                <w:color w:val="000000"/>
                <w:szCs w:val="21"/>
              </w:rPr>
              <w:t>五、</w:t>
            </w:r>
          </w:p>
          <w:p>
            <w:pPr>
              <w:widowControl/>
              <w:adjustRightInd w:val="0"/>
              <w:snapToGrid w:val="0"/>
              <w:jc w:val="center"/>
              <w:rPr>
                <w:rFonts w:eastAsia="黑体"/>
                <w:color w:val="000000"/>
                <w:szCs w:val="21"/>
              </w:rPr>
            </w:pPr>
            <w:r>
              <w:rPr>
                <w:rFonts w:hAnsi="黑体" w:eastAsia="黑体"/>
                <w:color w:val="000000"/>
                <w:szCs w:val="21"/>
              </w:rPr>
              <w:t>行政权力制约监督科学有效</w:t>
            </w:r>
          </w:p>
          <w:p>
            <w:pPr>
              <w:adjustRightInd w:val="0"/>
              <w:snapToGrid w:val="0"/>
              <w:jc w:val="left"/>
              <w:rPr>
                <w:color w:val="000000"/>
                <w:szCs w:val="21"/>
              </w:rPr>
            </w:pPr>
          </w:p>
        </w:tc>
        <w:tc>
          <w:tcPr>
            <w:tcW w:w="1400" w:type="dxa"/>
            <w:vMerge w:val="restart"/>
            <w:vAlign w:val="center"/>
          </w:tcPr>
          <w:p>
            <w:pPr>
              <w:adjustRightInd w:val="0"/>
              <w:snapToGrid w:val="0"/>
              <w:rPr>
                <w:color w:val="000000"/>
                <w:szCs w:val="21"/>
              </w:rPr>
            </w:pPr>
            <w:r>
              <w:rPr>
                <w:color w:val="000000"/>
                <w:szCs w:val="21"/>
              </w:rPr>
              <w:t>1.自觉接受党内、人大、监察、民主、司法监督。</w:t>
            </w:r>
          </w:p>
        </w:tc>
        <w:tc>
          <w:tcPr>
            <w:tcW w:w="546" w:type="dxa"/>
            <w:vAlign w:val="center"/>
          </w:tcPr>
          <w:p>
            <w:pPr>
              <w:adjustRightInd w:val="0"/>
              <w:snapToGrid w:val="0"/>
              <w:jc w:val="center"/>
              <w:rPr>
                <w:color w:val="000000"/>
                <w:szCs w:val="21"/>
              </w:rPr>
            </w:pPr>
            <w:r>
              <w:rPr>
                <w:color w:val="000000"/>
                <w:szCs w:val="21"/>
              </w:rPr>
              <w:t>72</w:t>
            </w:r>
          </w:p>
        </w:tc>
        <w:tc>
          <w:tcPr>
            <w:tcW w:w="9555" w:type="dxa"/>
            <w:vAlign w:val="center"/>
          </w:tcPr>
          <w:p>
            <w:pPr>
              <w:adjustRightInd w:val="0"/>
              <w:snapToGrid w:val="0"/>
              <w:jc w:val="left"/>
              <w:rPr>
                <w:color w:val="000000"/>
                <w:szCs w:val="21"/>
              </w:rPr>
            </w:pPr>
            <w:r>
              <w:rPr>
                <w:color w:val="000000"/>
                <w:szCs w:val="21"/>
              </w:rPr>
              <w:t>人大代表和政协委员提出的意见和建议研究办理及时，满意度达95%以上。</w:t>
            </w:r>
          </w:p>
        </w:tc>
        <w:tc>
          <w:tcPr>
            <w:tcW w:w="1985" w:type="dxa"/>
            <w:tcBorders>
              <w:bottom w:val="single" w:color="auto" w:sz="4" w:space="0"/>
            </w:tcBorders>
            <w:vAlign w:val="center"/>
          </w:tcPr>
          <w:p>
            <w:pPr>
              <w:widowControl/>
              <w:adjustRightInd w:val="0"/>
              <w:snapToGrid w:val="0"/>
              <w:jc w:val="center"/>
              <w:rPr>
                <w:rFonts w:eastAsia="黑体"/>
                <w:szCs w:val="21"/>
              </w:rPr>
            </w:pPr>
            <w:r>
              <w:rPr>
                <w:rFonts w:hAnsi="黑体" w:eastAsia="黑体"/>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trPr>
        <w:tc>
          <w:tcPr>
            <w:tcW w:w="690" w:type="dxa"/>
            <w:vMerge w:val="continue"/>
            <w:vAlign w:val="center"/>
          </w:tcPr>
          <w:p>
            <w:pPr>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73</w:t>
            </w:r>
          </w:p>
        </w:tc>
        <w:tc>
          <w:tcPr>
            <w:tcW w:w="9555" w:type="dxa"/>
            <w:vAlign w:val="center"/>
          </w:tcPr>
          <w:p>
            <w:pPr>
              <w:adjustRightInd w:val="0"/>
              <w:snapToGrid w:val="0"/>
              <w:jc w:val="left"/>
              <w:rPr>
                <w:color w:val="000000"/>
                <w:szCs w:val="21"/>
              </w:rPr>
            </w:pPr>
            <w:r>
              <w:rPr>
                <w:color w:val="000000"/>
                <w:szCs w:val="21"/>
              </w:rPr>
              <w:t>行政机关负责人出庭率达100%。行政诉讼败诉率不高于上一年度全国行政诉讼败诉率平均值。</w:t>
            </w:r>
          </w:p>
        </w:tc>
        <w:tc>
          <w:tcPr>
            <w:tcW w:w="1985" w:type="dxa"/>
            <w:vMerge w:val="restart"/>
            <w:tcBorders>
              <w:bottom w:val="nil"/>
            </w:tcBorders>
            <w:vAlign w:val="center"/>
          </w:tcPr>
          <w:p>
            <w:pPr>
              <w:adjustRightInd w:val="0"/>
              <w:snapToGrid w:val="0"/>
              <w:jc w:val="center"/>
              <w:rPr>
                <w:rFonts w:eastAsia="黑体"/>
                <w:szCs w:val="21"/>
              </w:rPr>
            </w:pPr>
          </w:p>
          <w:p>
            <w:pPr>
              <w:adjustRightInd w:val="0"/>
              <w:snapToGrid w:val="0"/>
              <w:jc w:val="center"/>
              <w:rPr>
                <w:rFonts w:eastAsia="黑体"/>
                <w:szCs w:val="21"/>
              </w:rPr>
            </w:pPr>
          </w:p>
          <w:p>
            <w:pPr>
              <w:adjustRightInd w:val="0"/>
              <w:snapToGrid w:val="0"/>
              <w:jc w:val="center"/>
              <w:rPr>
                <w:rFonts w:eastAsia="黑体"/>
                <w:szCs w:val="21"/>
              </w:rPr>
            </w:pPr>
            <w:r>
              <w:rPr>
                <w:rFonts w:hAnsi="黑体" w:eastAsia="黑体"/>
                <w:szCs w:val="21"/>
              </w:rPr>
              <w:t>法规稽查科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690" w:type="dxa"/>
            <w:vMerge w:val="continue"/>
            <w:vAlign w:val="center"/>
          </w:tcPr>
          <w:p>
            <w:pPr>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74</w:t>
            </w:r>
          </w:p>
        </w:tc>
        <w:tc>
          <w:tcPr>
            <w:tcW w:w="9555" w:type="dxa"/>
            <w:vAlign w:val="center"/>
          </w:tcPr>
          <w:p>
            <w:pPr>
              <w:adjustRightInd w:val="0"/>
              <w:snapToGrid w:val="0"/>
              <w:jc w:val="left"/>
              <w:rPr>
                <w:color w:val="000000"/>
                <w:szCs w:val="21"/>
              </w:rPr>
            </w:pPr>
            <w:r>
              <w:rPr>
                <w:color w:val="000000"/>
                <w:szCs w:val="21"/>
              </w:rPr>
              <w:t>不存在未履行法院生效裁判的情况，及时向人民法院反馈司法建议采纳情况，办复率达100%。</w:t>
            </w:r>
          </w:p>
        </w:tc>
        <w:tc>
          <w:tcPr>
            <w:tcW w:w="1985" w:type="dxa"/>
            <w:vMerge w:val="continue"/>
            <w:tcBorders>
              <w:bottom w:val="nil"/>
            </w:tcBorders>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trPr>
        <w:tc>
          <w:tcPr>
            <w:tcW w:w="690" w:type="dxa"/>
            <w:vMerge w:val="continue"/>
            <w:vAlign w:val="center"/>
          </w:tcPr>
          <w:p>
            <w:pPr>
              <w:adjustRightInd w:val="0"/>
              <w:snapToGrid w:val="0"/>
              <w:jc w:val="left"/>
              <w:rPr>
                <w:color w:val="000000"/>
                <w:szCs w:val="21"/>
              </w:rPr>
            </w:pPr>
          </w:p>
        </w:tc>
        <w:tc>
          <w:tcPr>
            <w:tcW w:w="1400" w:type="dxa"/>
            <w:vMerge w:val="continue"/>
            <w:vAlign w:val="center"/>
          </w:tcPr>
          <w:p>
            <w:pPr>
              <w:widowControl/>
              <w:adjustRightInd w:val="0"/>
              <w:snapToGrid w:val="0"/>
              <w:rPr>
                <w:color w:val="000000"/>
                <w:szCs w:val="21"/>
              </w:rPr>
            </w:pPr>
          </w:p>
        </w:tc>
        <w:tc>
          <w:tcPr>
            <w:tcW w:w="546" w:type="dxa"/>
            <w:vAlign w:val="center"/>
          </w:tcPr>
          <w:p>
            <w:pPr>
              <w:widowControl/>
              <w:adjustRightInd w:val="0"/>
              <w:snapToGrid w:val="0"/>
              <w:jc w:val="center"/>
              <w:rPr>
                <w:color w:val="000000"/>
                <w:szCs w:val="21"/>
              </w:rPr>
            </w:pPr>
            <w:r>
              <w:rPr>
                <w:color w:val="000000"/>
                <w:szCs w:val="21"/>
              </w:rPr>
              <w:t>75</w:t>
            </w:r>
          </w:p>
        </w:tc>
        <w:tc>
          <w:tcPr>
            <w:tcW w:w="9555" w:type="dxa"/>
            <w:vAlign w:val="center"/>
          </w:tcPr>
          <w:p>
            <w:pPr>
              <w:widowControl/>
              <w:adjustRightInd w:val="0"/>
              <w:snapToGrid w:val="0"/>
              <w:jc w:val="left"/>
              <w:rPr>
                <w:color w:val="000000"/>
                <w:szCs w:val="21"/>
              </w:rPr>
            </w:pPr>
            <w:r>
              <w:rPr>
                <w:color w:val="000000"/>
                <w:szCs w:val="21"/>
              </w:rPr>
              <w:t>自觉接受、配合监察机关开展的监督工作。及时向检察机关反馈检察建议采纳情况，办复率100%。</w:t>
            </w:r>
          </w:p>
        </w:tc>
        <w:tc>
          <w:tcPr>
            <w:tcW w:w="1985" w:type="dxa"/>
            <w:vMerge w:val="continue"/>
            <w:tcBorders>
              <w:bottom w:val="nil"/>
            </w:tcBorders>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690" w:type="dxa"/>
            <w:vMerge w:val="continue"/>
          </w:tcPr>
          <w:p>
            <w:pPr>
              <w:adjustRightInd w:val="0"/>
              <w:snapToGrid w:val="0"/>
              <w:jc w:val="left"/>
              <w:rPr>
                <w:color w:val="000000"/>
                <w:szCs w:val="21"/>
              </w:rPr>
            </w:pPr>
          </w:p>
        </w:tc>
        <w:tc>
          <w:tcPr>
            <w:tcW w:w="1400" w:type="dxa"/>
            <w:vMerge w:val="restart"/>
            <w:vAlign w:val="center"/>
          </w:tcPr>
          <w:p>
            <w:pPr>
              <w:adjustRightInd w:val="0"/>
              <w:snapToGrid w:val="0"/>
              <w:rPr>
                <w:color w:val="000000"/>
                <w:szCs w:val="21"/>
              </w:rPr>
            </w:pPr>
            <w:r>
              <w:rPr>
                <w:color w:val="000000"/>
                <w:szCs w:val="21"/>
              </w:rPr>
              <w:t>2.加强行政监督和审计监督。</w:t>
            </w:r>
          </w:p>
        </w:tc>
        <w:tc>
          <w:tcPr>
            <w:tcW w:w="546" w:type="dxa"/>
            <w:vAlign w:val="center"/>
          </w:tcPr>
          <w:p>
            <w:pPr>
              <w:adjustRightInd w:val="0"/>
              <w:snapToGrid w:val="0"/>
              <w:jc w:val="center"/>
              <w:rPr>
                <w:color w:val="000000"/>
                <w:szCs w:val="21"/>
              </w:rPr>
            </w:pPr>
            <w:r>
              <w:rPr>
                <w:color w:val="000000"/>
                <w:szCs w:val="21"/>
              </w:rPr>
              <w:t>76</w:t>
            </w:r>
          </w:p>
        </w:tc>
        <w:tc>
          <w:tcPr>
            <w:tcW w:w="9555" w:type="dxa"/>
            <w:vAlign w:val="center"/>
          </w:tcPr>
          <w:p>
            <w:pPr>
              <w:adjustRightInd w:val="0"/>
              <w:snapToGrid w:val="0"/>
              <w:jc w:val="left"/>
              <w:rPr>
                <w:color w:val="000000"/>
                <w:szCs w:val="21"/>
              </w:rPr>
            </w:pPr>
            <w:r>
              <w:rPr>
                <w:color w:val="000000"/>
                <w:szCs w:val="21"/>
              </w:rPr>
              <w:t>政府内部层级监督常态化、长效化机制建立，对监督主体、监督内容、监督方式、违法或者不当行政行为的处理、责任追究等作出规定。</w:t>
            </w:r>
          </w:p>
        </w:tc>
        <w:tc>
          <w:tcPr>
            <w:tcW w:w="1985" w:type="dxa"/>
            <w:tcBorders>
              <w:top w:val="nil"/>
            </w:tcBorders>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90" w:type="dxa"/>
            <w:vMerge w:val="continue"/>
          </w:tcPr>
          <w:p>
            <w:pPr>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77</w:t>
            </w:r>
          </w:p>
        </w:tc>
        <w:tc>
          <w:tcPr>
            <w:tcW w:w="9555" w:type="dxa"/>
            <w:vAlign w:val="center"/>
          </w:tcPr>
          <w:p>
            <w:pPr>
              <w:adjustRightInd w:val="0"/>
              <w:snapToGrid w:val="0"/>
              <w:jc w:val="left"/>
              <w:rPr>
                <w:color w:val="000000"/>
                <w:szCs w:val="21"/>
              </w:rPr>
            </w:pPr>
            <w:r>
              <w:rPr>
                <w:color w:val="000000"/>
                <w:szCs w:val="21"/>
              </w:rPr>
              <w:t>内部权力制约体系形成，对财政资金分配使用、国有资产监管、政府投资、政府采购、公共资源转让、公共工程建设等权力集中的部门和岗位实行分事行权、分岗设权、分级授权，定期轮岗。</w:t>
            </w:r>
          </w:p>
        </w:tc>
        <w:tc>
          <w:tcPr>
            <w:tcW w:w="1985" w:type="dxa"/>
            <w:vMerge w:val="restart"/>
            <w:vAlign w:val="center"/>
          </w:tcPr>
          <w:p>
            <w:pPr>
              <w:adjustRightInd w:val="0"/>
              <w:snapToGrid w:val="0"/>
              <w:jc w:val="center"/>
              <w:rPr>
                <w:rFonts w:eastAsia="黑体"/>
                <w:szCs w:val="21"/>
              </w:rPr>
            </w:pPr>
            <w:r>
              <w:rPr>
                <w:rFonts w:hAnsi="黑体" w:eastAsia="黑体"/>
                <w:szCs w:val="21"/>
              </w:rPr>
              <w:t>规划财务科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trPr>
        <w:tc>
          <w:tcPr>
            <w:tcW w:w="690" w:type="dxa"/>
            <w:vMerge w:val="continue"/>
          </w:tcPr>
          <w:p>
            <w:pPr>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78</w:t>
            </w:r>
          </w:p>
        </w:tc>
        <w:tc>
          <w:tcPr>
            <w:tcW w:w="9555" w:type="dxa"/>
            <w:vAlign w:val="center"/>
          </w:tcPr>
          <w:p>
            <w:pPr>
              <w:adjustRightInd w:val="0"/>
              <w:snapToGrid w:val="0"/>
              <w:jc w:val="left"/>
              <w:rPr>
                <w:color w:val="000000"/>
                <w:szCs w:val="21"/>
              </w:rPr>
            </w:pPr>
            <w:r>
              <w:rPr>
                <w:color w:val="000000"/>
                <w:szCs w:val="21"/>
              </w:rPr>
              <w:t>依法独立行使审计监督权的审计管理体制建立健全，实现审计全覆盖。</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trPr>
        <w:tc>
          <w:tcPr>
            <w:tcW w:w="690" w:type="dxa"/>
            <w:vMerge w:val="continue"/>
            <w:vAlign w:val="center"/>
          </w:tcPr>
          <w:p>
            <w:pPr>
              <w:adjustRightInd w:val="0"/>
              <w:snapToGrid w:val="0"/>
              <w:jc w:val="left"/>
              <w:rPr>
                <w:rFonts w:eastAsia="黑体"/>
                <w:color w:val="000000"/>
                <w:szCs w:val="21"/>
              </w:rPr>
            </w:pPr>
          </w:p>
        </w:tc>
        <w:tc>
          <w:tcPr>
            <w:tcW w:w="1400" w:type="dxa"/>
            <w:vMerge w:val="restart"/>
            <w:vAlign w:val="center"/>
          </w:tcPr>
          <w:p>
            <w:pPr>
              <w:widowControl/>
              <w:adjustRightInd w:val="0"/>
              <w:snapToGrid w:val="0"/>
              <w:rPr>
                <w:color w:val="000000"/>
                <w:szCs w:val="21"/>
              </w:rPr>
            </w:pPr>
            <w:r>
              <w:rPr>
                <w:color w:val="000000"/>
                <w:szCs w:val="21"/>
              </w:rPr>
              <w:t>3.完善社会监督和舆论监督机制。</w:t>
            </w:r>
          </w:p>
        </w:tc>
        <w:tc>
          <w:tcPr>
            <w:tcW w:w="546" w:type="dxa"/>
            <w:vAlign w:val="center"/>
          </w:tcPr>
          <w:p>
            <w:pPr>
              <w:widowControl/>
              <w:adjustRightInd w:val="0"/>
              <w:snapToGrid w:val="0"/>
              <w:jc w:val="center"/>
              <w:rPr>
                <w:color w:val="000000"/>
                <w:szCs w:val="21"/>
              </w:rPr>
            </w:pPr>
            <w:r>
              <w:rPr>
                <w:color w:val="000000"/>
                <w:szCs w:val="21"/>
              </w:rPr>
              <w:t>79</w:t>
            </w:r>
          </w:p>
        </w:tc>
        <w:tc>
          <w:tcPr>
            <w:tcW w:w="9555" w:type="dxa"/>
            <w:vAlign w:val="center"/>
          </w:tcPr>
          <w:p>
            <w:pPr>
              <w:widowControl/>
              <w:adjustRightInd w:val="0"/>
              <w:snapToGrid w:val="0"/>
              <w:jc w:val="left"/>
              <w:rPr>
                <w:color w:val="000000"/>
                <w:szCs w:val="21"/>
              </w:rPr>
            </w:pPr>
            <w:r>
              <w:rPr>
                <w:color w:val="000000"/>
                <w:szCs w:val="21"/>
              </w:rPr>
              <w:t>行政机关违法行政行为投诉举报登记制度建立，举报箱、电子信箱、热线电话等监督渠道通畅，统一政务咨询投诉举报平台建立健全，政务热线整合，纳入统一政务咨询投诉举报平台管理。</w:t>
            </w:r>
          </w:p>
        </w:tc>
        <w:tc>
          <w:tcPr>
            <w:tcW w:w="1985" w:type="dxa"/>
            <w:vMerge w:val="restart"/>
            <w:vAlign w:val="center"/>
          </w:tcPr>
          <w:p>
            <w:pPr>
              <w:adjustRightInd w:val="0"/>
              <w:snapToGrid w:val="0"/>
              <w:jc w:val="center"/>
              <w:rPr>
                <w:rFonts w:eastAsia="黑体"/>
                <w:color w:val="000000"/>
                <w:szCs w:val="21"/>
              </w:rPr>
            </w:pPr>
            <w:r>
              <w:rPr>
                <w:rFonts w:hAnsi="黑体" w:eastAsia="黑体"/>
                <w:color w:val="00000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trPr>
        <w:tc>
          <w:tcPr>
            <w:tcW w:w="690" w:type="dxa"/>
            <w:vMerge w:val="continue"/>
            <w:vAlign w:val="center"/>
          </w:tcPr>
          <w:p>
            <w:pPr>
              <w:adjustRightInd w:val="0"/>
              <w:snapToGrid w:val="0"/>
              <w:jc w:val="left"/>
              <w:rPr>
                <w:rFonts w:eastAsia="黑体"/>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80</w:t>
            </w:r>
          </w:p>
        </w:tc>
        <w:tc>
          <w:tcPr>
            <w:tcW w:w="9555" w:type="dxa"/>
            <w:vAlign w:val="center"/>
          </w:tcPr>
          <w:p>
            <w:pPr>
              <w:adjustRightInd w:val="0"/>
              <w:snapToGrid w:val="0"/>
              <w:jc w:val="left"/>
              <w:rPr>
                <w:color w:val="000000"/>
                <w:szCs w:val="21"/>
              </w:rPr>
            </w:pPr>
            <w:r>
              <w:rPr>
                <w:color w:val="000000"/>
                <w:szCs w:val="21"/>
              </w:rPr>
              <w:t>对新闻媒体曝光的违法行政问题及时进行调查核实，解释说明，依法作出处理并进行反馈。</w:t>
            </w:r>
          </w:p>
        </w:tc>
        <w:tc>
          <w:tcPr>
            <w:tcW w:w="1985" w:type="dxa"/>
            <w:vMerge w:val="continue"/>
            <w:vAlign w:val="center"/>
          </w:tcPr>
          <w:p>
            <w:pPr>
              <w:adjustRightInd w:val="0"/>
              <w:snapToGrid w:val="0"/>
              <w:jc w:val="center"/>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690" w:type="dxa"/>
            <w:vMerge w:val="continue"/>
            <w:vAlign w:val="center"/>
          </w:tcPr>
          <w:p>
            <w:pPr>
              <w:adjustRightInd w:val="0"/>
              <w:snapToGrid w:val="0"/>
              <w:jc w:val="left"/>
              <w:rPr>
                <w:rFonts w:eastAsia="黑体"/>
                <w:color w:val="000000"/>
                <w:szCs w:val="21"/>
              </w:rPr>
            </w:pPr>
          </w:p>
        </w:tc>
        <w:tc>
          <w:tcPr>
            <w:tcW w:w="1400" w:type="dxa"/>
            <w:vMerge w:val="restart"/>
            <w:tcBorders>
              <w:bottom w:val="single" w:color="auto" w:sz="4" w:space="0"/>
            </w:tcBorders>
            <w:vAlign w:val="center"/>
          </w:tcPr>
          <w:p>
            <w:pPr>
              <w:adjustRightInd w:val="0"/>
              <w:snapToGrid w:val="0"/>
              <w:rPr>
                <w:rFonts w:eastAsia="黑体"/>
                <w:color w:val="000000"/>
                <w:szCs w:val="21"/>
              </w:rPr>
            </w:pPr>
            <w:r>
              <w:rPr>
                <w:color w:val="000000"/>
                <w:szCs w:val="21"/>
              </w:rPr>
              <w:t>4.全面推进政务公开。</w:t>
            </w:r>
          </w:p>
        </w:tc>
        <w:tc>
          <w:tcPr>
            <w:tcW w:w="546" w:type="dxa"/>
            <w:vAlign w:val="center"/>
          </w:tcPr>
          <w:p>
            <w:pPr>
              <w:adjustRightInd w:val="0"/>
              <w:snapToGrid w:val="0"/>
              <w:jc w:val="center"/>
              <w:rPr>
                <w:rFonts w:eastAsia="黑体"/>
                <w:color w:val="000000"/>
                <w:szCs w:val="21"/>
              </w:rPr>
            </w:pPr>
            <w:r>
              <w:rPr>
                <w:color w:val="000000"/>
                <w:szCs w:val="21"/>
              </w:rPr>
              <w:t>81</w:t>
            </w:r>
          </w:p>
        </w:tc>
        <w:tc>
          <w:tcPr>
            <w:tcW w:w="9555" w:type="dxa"/>
            <w:tcBorders>
              <w:bottom w:val="single" w:color="auto" w:sz="4" w:space="0"/>
            </w:tcBorders>
            <w:vAlign w:val="center"/>
          </w:tcPr>
          <w:p>
            <w:pPr>
              <w:adjustRightInd w:val="0"/>
              <w:snapToGrid w:val="0"/>
              <w:jc w:val="left"/>
              <w:rPr>
                <w:rFonts w:eastAsia="黑体"/>
                <w:color w:val="000000"/>
                <w:szCs w:val="21"/>
              </w:rPr>
            </w:pPr>
            <w:r>
              <w:rPr>
                <w:szCs w:val="21"/>
              </w:rPr>
              <w:t>实行政务公开清单管理制度，并动态更新。依申请公开政府信息的答复率达100%。</w:t>
            </w:r>
          </w:p>
        </w:tc>
        <w:tc>
          <w:tcPr>
            <w:tcW w:w="1985" w:type="dxa"/>
            <w:vMerge w:val="continue"/>
            <w:vAlign w:val="center"/>
          </w:tcPr>
          <w:p>
            <w:pPr>
              <w:adjustRightInd w:val="0"/>
              <w:snapToGrid w:val="0"/>
              <w:jc w:val="center"/>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690" w:type="dxa"/>
            <w:vMerge w:val="continue"/>
          </w:tcPr>
          <w:p>
            <w:pPr>
              <w:widowControl/>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82</w:t>
            </w:r>
          </w:p>
        </w:tc>
        <w:tc>
          <w:tcPr>
            <w:tcW w:w="9555" w:type="dxa"/>
            <w:vAlign w:val="center"/>
          </w:tcPr>
          <w:p>
            <w:pPr>
              <w:adjustRightInd w:val="0"/>
              <w:snapToGrid w:val="0"/>
              <w:jc w:val="left"/>
              <w:rPr>
                <w:szCs w:val="21"/>
              </w:rPr>
            </w:pPr>
            <w:r>
              <w:rPr>
                <w:szCs w:val="21"/>
              </w:rPr>
              <w:t>新闻发言人、突发事件信息发布等制度完善，特别重大、重大突发事件政务舆情发生后5小时内发布权威信息，24小时内举行新闻发布会，持续发布权威信息，部门主要负责人带头主动发声。</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690" w:type="dxa"/>
            <w:vMerge w:val="continue"/>
          </w:tcPr>
          <w:p>
            <w:pPr>
              <w:widowControl/>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83</w:t>
            </w:r>
          </w:p>
        </w:tc>
        <w:tc>
          <w:tcPr>
            <w:tcW w:w="9555" w:type="dxa"/>
            <w:vAlign w:val="center"/>
          </w:tcPr>
          <w:p>
            <w:pPr>
              <w:adjustRightInd w:val="0"/>
              <w:snapToGrid w:val="0"/>
              <w:jc w:val="left"/>
              <w:rPr>
                <w:szCs w:val="21"/>
              </w:rPr>
            </w:pPr>
            <w:r>
              <w:rPr>
                <w:szCs w:val="21"/>
              </w:rPr>
              <w:t>因不履行或者不正确履行政府信息公开法定职责，在行政复议或者行政诉讼中被撤销、确认违法或者责令履行等的发生率在5%以下。</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690" w:type="dxa"/>
            <w:vMerge w:val="restart"/>
            <w:vAlign w:val="center"/>
          </w:tcPr>
          <w:p>
            <w:pPr>
              <w:adjustRightInd w:val="0"/>
              <w:snapToGrid w:val="0"/>
              <w:jc w:val="center"/>
              <w:rPr>
                <w:rFonts w:eastAsia="黑体"/>
                <w:color w:val="000000"/>
                <w:szCs w:val="21"/>
              </w:rPr>
            </w:pPr>
            <w:r>
              <w:rPr>
                <w:rFonts w:eastAsia="黑体"/>
                <w:color w:val="000000"/>
                <w:szCs w:val="21"/>
              </w:rPr>
              <w:t>六、</w:t>
            </w:r>
          </w:p>
          <w:p>
            <w:pPr>
              <w:adjustRightInd w:val="0"/>
              <w:snapToGrid w:val="0"/>
              <w:jc w:val="center"/>
              <w:rPr>
                <w:color w:val="000000"/>
                <w:spacing w:val="-6"/>
                <w:szCs w:val="21"/>
              </w:rPr>
            </w:pPr>
            <w:r>
              <w:rPr>
                <w:rFonts w:eastAsia="黑体"/>
                <w:color w:val="000000"/>
                <w:szCs w:val="21"/>
              </w:rPr>
              <w:t>社会矛盾纠纷依法有效化解</w:t>
            </w:r>
          </w:p>
        </w:tc>
        <w:tc>
          <w:tcPr>
            <w:tcW w:w="1400" w:type="dxa"/>
            <w:vMerge w:val="restart"/>
            <w:vAlign w:val="center"/>
          </w:tcPr>
          <w:p>
            <w:pPr>
              <w:adjustRightInd w:val="0"/>
              <w:snapToGrid w:val="0"/>
              <w:rPr>
                <w:color w:val="000000"/>
                <w:szCs w:val="21"/>
              </w:rPr>
            </w:pPr>
            <w:r>
              <w:rPr>
                <w:color w:val="000000"/>
                <w:szCs w:val="21"/>
              </w:rPr>
              <w:t>1.健全依法化解纠纷机制。</w:t>
            </w:r>
          </w:p>
        </w:tc>
        <w:tc>
          <w:tcPr>
            <w:tcW w:w="546" w:type="dxa"/>
            <w:vAlign w:val="center"/>
          </w:tcPr>
          <w:p>
            <w:pPr>
              <w:adjustRightInd w:val="0"/>
              <w:snapToGrid w:val="0"/>
              <w:jc w:val="center"/>
              <w:rPr>
                <w:color w:val="000000"/>
                <w:szCs w:val="21"/>
              </w:rPr>
            </w:pPr>
            <w:r>
              <w:rPr>
                <w:color w:val="000000"/>
                <w:szCs w:val="21"/>
              </w:rPr>
              <w:t>84</w:t>
            </w:r>
          </w:p>
        </w:tc>
        <w:tc>
          <w:tcPr>
            <w:tcW w:w="9555" w:type="dxa"/>
            <w:vAlign w:val="center"/>
          </w:tcPr>
          <w:p>
            <w:pPr>
              <w:adjustRightInd w:val="0"/>
              <w:snapToGrid w:val="0"/>
              <w:jc w:val="left"/>
              <w:rPr>
                <w:szCs w:val="21"/>
              </w:rPr>
            </w:pPr>
            <w:r>
              <w:rPr>
                <w:szCs w:val="21"/>
              </w:rPr>
              <w:t>调解、仲裁、行政裁决、行政复议、诉讼等矛盾纠纷多元化解机制有机衔接，绝大多数矛盾纠纷能够通过法定渠道得到解决。人民群众对化解社会矛盾纠纷工作的满意度达到80%以上。</w:t>
            </w:r>
          </w:p>
        </w:tc>
        <w:tc>
          <w:tcPr>
            <w:tcW w:w="1985" w:type="dxa"/>
            <w:vMerge w:val="restart"/>
            <w:vAlign w:val="center"/>
          </w:tcPr>
          <w:p>
            <w:pPr>
              <w:adjustRightInd w:val="0"/>
              <w:snapToGrid w:val="0"/>
              <w:jc w:val="center"/>
              <w:rPr>
                <w:rFonts w:eastAsia="黑体"/>
                <w:szCs w:val="21"/>
              </w:rPr>
            </w:pPr>
            <w:r>
              <w:rPr>
                <w:rFonts w:hAnsi="黑体" w:eastAsia="黑体"/>
                <w:szCs w:val="21"/>
              </w:rPr>
              <w:t>消保科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90" w:type="dxa"/>
            <w:vMerge w:val="continue"/>
          </w:tcPr>
          <w:p>
            <w:pPr>
              <w:widowControl/>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85</w:t>
            </w:r>
          </w:p>
        </w:tc>
        <w:tc>
          <w:tcPr>
            <w:tcW w:w="9555" w:type="dxa"/>
            <w:vAlign w:val="center"/>
          </w:tcPr>
          <w:p>
            <w:pPr>
              <w:adjustRightInd w:val="0"/>
              <w:snapToGrid w:val="0"/>
              <w:jc w:val="left"/>
              <w:rPr>
                <w:color w:val="000000"/>
                <w:szCs w:val="21"/>
              </w:rPr>
            </w:pPr>
            <w:r>
              <w:rPr>
                <w:color w:val="000000"/>
                <w:szCs w:val="21"/>
              </w:rPr>
              <w:t>推进企事业单位、社会组织人民调解组织建设。</w:t>
            </w:r>
          </w:p>
        </w:tc>
        <w:tc>
          <w:tcPr>
            <w:tcW w:w="1985" w:type="dxa"/>
            <w:vMerge w:val="continue"/>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690" w:type="dxa"/>
            <w:vMerge w:val="continue"/>
          </w:tcPr>
          <w:p>
            <w:pPr>
              <w:widowControl/>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86</w:t>
            </w:r>
          </w:p>
        </w:tc>
        <w:tc>
          <w:tcPr>
            <w:tcW w:w="9555" w:type="dxa"/>
            <w:vAlign w:val="center"/>
          </w:tcPr>
          <w:p>
            <w:pPr>
              <w:adjustRightInd w:val="0"/>
              <w:snapToGrid w:val="0"/>
              <w:jc w:val="left"/>
              <w:rPr>
                <w:color w:val="000000"/>
                <w:szCs w:val="21"/>
              </w:rPr>
            </w:pPr>
            <w:r>
              <w:rPr>
                <w:color w:val="000000"/>
                <w:szCs w:val="21"/>
              </w:rPr>
              <w:t>行政调解任务较重的部门成立行政调解委员会。行政机关受理矛盾纠纷实行首问责任制。</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90" w:type="dxa"/>
            <w:vMerge w:val="continue"/>
          </w:tcPr>
          <w:p>
            <w:pPr>
              <w:widowControl/>
              <w:adjustRightInd w:val="0"/>
              <w:snapToGrid w:val="0"/>
              <w:jc w:val="left"/>
              <w:rPr>
                <w:color w:val="000000"/>
                <w:szCs w:val="21"/>
              </w:rPr>
            </w:pPr>
          </w:p>
        </w:tc>
        <w:tc>
          <w:tcPr>
            <w:tcW w:w="1400" w:type="dxa"/>
            <w:vMerge w:val="restart"/>
            <w:vAlign w:val="center"/>
          </w:tcPr>
          <w:p>
            <w:pPr>
              <w:adjustRightInd w:val="0"/>
              <w:snapToGrid w:val="0"/>
              <w:rPr>
                <w:color w:val="000000"/>
                <w:szCs w:val="21"/>
              </w:rPr>
            </w:pPr>
            <w:r>
              <w:rPr>
                <w:color w:val="000000"/>
                <w:szCs w:val="21"/>
              </w:rPr>
              <w:t>2.加强行政复议工作。</w:t>
            </w:r>
          </w:p>
        </w:tc>
        <w:tc>
          <w:tcPr>
            <w:tcW w:w="546" w:type="dxa"/>
            <w:vAlign w:val="center"/>
          </w:tcPr>
          <w:p>
            <w:pPr>
              <w:adjustRightInd w:val="0"/>
              <w:snapToGrid w:val="0"/>
              <w:jc w:val="center"/>
              <w:rPr>
                <w:color w:val="000000"/>
                <w:szCs w:val="21"/>
              </w:rPr>
            </w:pPr>
            <w:r>
              <w:rPr>
                <w:color w:val="000000"/>
                <w:szCs w:val="21"/>
              </w:rPr>
              <w:t>87</w:t>
            </w:r>
          </w:p>
        </w:tc>
        <w:tc>
          <w:tcPr>
            <w:tcW w:w="9555" w:type="dxa"/>
            <w:vAlign w:val="center"/>
          </w:tcPr>
          <w:p>
            <w:pPr>
              <w:adjustRightInd w:val="0"/>
              <w:snapToGrid w:val="0"/>
              <w:jc w:val="left"/>
              <w:rPr>
                <w:szCs w:val="21"/>
              </w:rPr>
            </w:pPr>
            <w:r>
              <w:rPr>
                <w:szCs w:val="21"/>
              </w:rPr>
              <w:t>行政复议案件办理符合法定程序和时限，通过加强听证、专家论证等形式确保办案质量较高。</w:t>
            </w:r>
          </w:p>
        </w:tc>
        <w:tc>
          <w:tcPr>
            <w:tcW w:w="1985" w:type="dxa"/>
            <w:vMerge w:val="restart"/>
            <w:vAlign w:val="center"/>
          </w:tcPr>
          <w:p>
            <w:pPr>
              <w:widowControl/>
              <w:adjustRightInd w:val="0"/>
              <w:snapToGrid w:val="0"/>
              <w:jc w:val="center"/>
              <w:rPr>
                <w:rFonts w:eastAsia="黑体"/>
                <w:szCs w:val="21"/>
              </w:rPr>
            </w:pPr>
            <w:r>
              <w:rPr>
                <w:rFonts w:hAnsi="黑体" w:eastAsia="黑体"/>
                <w:szCs w:val="21"/>
              </w:rPr>
              <w:t>法规稽查科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690" w:type="dxa"/>
            <w:vMerge w:val="continue"/>
          </w:tcPr>
          <w:p>
            <w:pPr>
              <w:widowControl/>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88</w:t>
            </w:r>
          </w:p>
        </w:tc>
        <w:tc>
          <w:tcPr>
            <w:tcW w:w="9555" w:type="dxa"/>
            <w:vAlign w:val="center"/>
          </w:tcPr>
          <w:p>
            <w:pPr>
              <w:adjustRightInd w:val="0"/>
              <w:snapToGrid w:val="0"/>
              <w:jc w:val="left"/>
              <w:rPr>
                <w:szCs w:val="21"/>
              </w:rPr>
            </w:pPr>
            <w:r>
              <w:rPr>
                <w:szCs w:val="21"/>
              </w:rPr>
              <w:t>行政复议规范化程度较高。行政复议机构设置、人员配备与工作任务相适应。</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690" w:type="dxa"/>
            <w:vMerge w:val="continue"/>
          </w:tcPr>
          <w:p>
            <w:pPr>
              <w:widowControl/>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89</w:t>
            </w:r>
          </w:p>
        </w:tc>
        <w:tc>
          <w:tcPr>
            <w:tcW w:w="9555" w:type="dxa"/>
            <w:vAlign w:val="center"/>
          </w:tcPr>
          <w:p>
            <w:pPr>
              <w:adjustRightInd w:val="0"/>
              <w:snapToGrid w:val="0"/>
              <w:jc w:val="left"/>
              <w:rPr>
                <w:szCs w:val="21"/>
              </w:rPr>
            </w:pPr>
            <w:r>
              <w:rPr>
                <w:szCs w:val="21"/>
              </w:rPr>
              <w:t>行政处罚、行政许可等文书中行政复议权利告知规范。在网站和行政复议接待场所公开受理复议案件的范围、条件、程序等，提供行政复议申请书样本。全面落实行政复议决定书网上公开制度。</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690" w:type="dxa"/>
            <w:vMerge w:val="continue"/>
          </w:tcPr>
          <w:p>
            <w:pPr>
              <w:widowControl/>
              <w:adjustRightInd w:val="0"/>
              <w:snapToGrid w:val="0"/>
              <w:jc w:val="left"/>
              <w:rPr>
                <w:color w:val="000000"/>
                <w:szCs w:val="21"/>
              </w:rPr>
            </w:pPr>
          </w:p>
        </w:tc>
        <w:tc>
          <w:tcPr>
            <w:tcW w:w="1400" w:type="dxa"/>
            <w:vMerge w:val="restart"/>
            <w:vAlign w:val="center"/>
          </w:tcPr>
          <w:p>
            <w:pPr>
              <w:adjustRightInd w:val="0"/>
              <w:snapToGrid w:val="0"/>
              <w:rPr>
                <w:color w:val="000000"/>
                <w:szCs w:val="21"/>
              </w:rPr>
            </w:pPr>
            <w:r>
              <w:rPr>
                <w:color w:val="000000"/>
                <w:szCs w:val="21"/>
              </w:rPr>
              <w:t>3.加强法治宣传教育。</w:t>
            </w:r>
          </w:p>
        </w:tc>
        <w:tc>
          <w:tcPr>
            <w:tcW w:w="546" w:type="dxa"/>
            <w:vAlign w:val="center"/>
          </w:tcPr>
          <w:p>
            <w:pPr>
              <w:adjustRightInd w:val="0"/>
              <w:snapToGrid w:val="0"/>
              <w:jc w:val="center"/>
              <w:rPr>
                <w:color w:val="000000"/>
                <w:szCs w:val="21"/>
              </w:rPr>
            </w:pPr>
            <w:r>
              <w:rPr>
                <w:color w:val="000000"/>
                <w:szCs w:val="21"/>
              </w:rPr>
              <w:t>90</w:t>
            </w:r>
          </w:p>
        </w:tc>
        <w:tc>
          <w:tcPr>
            <w:tcW w:w="9555" w:type="dxa"/>
            <w:vAlign w:val="center"/>
          </w:tcPr>
          <w:p>
            <w:pPr>
              <w:adjustRightInd w:val="0"/>
              <w:snapToGrid w:val="0"/>
              <w:jc w:val="left"/>
              <w:rPr>
                <w:szCs w:val="21"/>
              </w:rPr>
            </w:pPr>
            <w:r>
              <w:rPr>
                <w:szCs w:val="21"/>
              </w:rPr>
              <w:t>开展“12·4国家宪法周等法治宣传教育活动，落实国家工作人员宪法宣誓制度。</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690" w:type="dxa"/>
            <w:vMerge w:val="continue"/>
          </w:tcPr>
          <w:p>
            <w:pPr>
              <w:widowControl/>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91</w:t>
            </w:r>
          </w:p>
        </w:tc>
        <w:tc>
          <w:tcPr>
            <w:tcW w:w="9555" w:type="dxa"/>
            <w:vAlign w:val="center"/>
          </w:tcPr>
          <w:p>
            <w:pPr>
              <w:adjustRightInd w:val="0"/>
              <w:snapToGrid w:val="0"/>
              <w:jc w:val="left"/>
              <w:rPr>
                <w:szCs w:val="21"/>
              </w:rPr>
            </w:pPr>
            <w:r>
              <w:rPr>
                <w:szCs w:val="21"/>
              </w:rPr>
              <w:t>严格落实“谁执法谁普法”普法责任制，在执法实践中深入开展以案释法和警示教育。</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tcPr>
          <w:p>
            <w:pPr>
              <w:widowControl/>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92</w:t>
            </w:r>
          </w:p>
        </w:tc>
        <w:tc>
          <w:tcPr>
            <w:tcW w:w="9555" w:type="dxa"/>
            <w:vAlign w:val="center"/>
          </w:tcPr>
          <w:p>
            <w:pPr>
              <w:adjustRightInd w:val="0"/>
              <w:snapToGrid w:val="0"/>
              <w:jc w:val="left"/>
              <w:rPr>
                <w:color w:val="000000"/>
                <w:szCs w:val="21"/>
              </w:rPr>
            </w:pPr>
            <w:r>
              <w:rPr>
                <w:color w:val="000000"/>
                <w:szCs w:val="21"/>
              </w:rPr>
              <w:t>健全完善普法宣传教育机制。加强法治文化阵地和设施建设，经常开展群众性法治文化活动。</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Align w:val="center"/>
          </w:tcPr>
          <w:p>
            <w:pPr>
              <w:adjustRightInd w:val="0"/>
              <w:snapToGrid w:val="0"/>
              <w:jc w:val="center"/>
              <w:rPr>
                <w:rFonts w:eastAsia="黑体"/>
                <w:color w:val="000000"/>
                <w:szCs w:val="21"/>
              </w:rPr>
            </w:pPr>
            <w:r>
              <w:rPr>
                <w:rFonts w:eastAsia="黑体"/>
                <w:color w:val="000000"/>
                <w:szCs w:val="21"/>
              </w:rPr>
              <w:t>一级</w:t>
            </w:r>
          </w:p>
          <w:p>
            <w:pPr>
              <w:adjustRightInd w:val="0"/>
              <w:snapToGrid w:val="0"/>
              <w:jc w:val="center"/>
              <w:rPr>
                <w:rFonts w:eastAsia="黑体"/>
                <w:color w:val="000000"/>
                <w:szCs w:val="21"/>
              </w:rPr>
            </w:pPr>
            <w:r>
              <w:rPr>
                <w:rFonts w:eastAsia="黑体"/>
                <w:color w:val="000000"/>
                <w:szCs w:val="21"/>
              </w:rPr>
              <w:t>指标</w:t>
            </w:r>
          </w:p>
        </w:tc>
        <w:tc>
          <w:tcPr>
            <w:tcW w:w="1400" w:type="dxa"/>
            <w:vAlign w:val="center"/>
          </w:tcPr>
          <w:p>
            <w:pPr>
              <w:adjustRightInd w:val="0"/>
              <w:snapToGrid w:val="0"/>
              <w:jc w:val="center"/>
              <w:rPr>
                <w:rFonts w:eastAsia="黑体"/>
                <w:color w:val="000000"/>
                <w:szCs w:val="21"/>
              </w:rPr>
            </w:pPr>
            <w:r>
              <w:rPr>
                <w:rFonts w:eastAsia="黑体"/>
                <w:color w:val="000000"/>
                <w:szCs w:val="21"/>
              </w:rPr>
              <w:t>二级指标</w:t>
            </w:r>
          </w:p>
        </w:tc>
        <w:tc>
          <w:tcPr>
            <w:tcW w:w="546" w:type="dxa"/>
            <w:vAlign w:val="center"/>
          </w:tcPr>
          <w:p>
            <w:pPr>
              <w:adjustRightInd w:val="0"/>
              <w:snapToGrid w:val="0"/>
              <w:jc w:val="center"/>
              <w:rPr>
                <w:rFonts w:eastAsia="黑体"/>
                <w:color w:val="000000"/>
                <w:szCs w:val="21"/>
              </w:rPr>
            </w:pPr>
            <w:r>
              <w:rPr>
                <w:rFonts w:eastAsia="黑体"/>
                <w:color w:val="000000"/>
                <w:szCs w:val="21"/>
              </w:rPr>
              <w:t>序号</w:t>
            </w:r>
          </w:p>
        </w:tc>
        <w:tc>
          <w:tcPr>
            <w:tcW w:w="9555" w:type="dxa"/>
            <w:vAlign w:val="center"/>
          </w:tcPr>
          <w:p>
            <w:pPr>
              <w:adjustRightInd w:val="0"/>
              <w:snapToGrid w:val="0"/>
              <w:jc w:val="center"/>
              <w:rPr>
                <w:rFonts w:eastAsia="黑体"/>
                <w:color w:val="000000"/>
                <w:szCs w:val="21"/>
              </w:rPr>
            </w:pPr>
            <w:r>
              <w:rPr>
                <w:rFonts w:eastAsia="黑体"/>
                <w:color w:val="000000"/>
                <w:szCs w:val="21"/>
              </w:rPr>
              <w:t>三级指标</w:t>
            </w:r>
          </w:p>
        </w:tc>
        <w:tc>
          <w:tcPr>
            <w:tcW w:w="1985" w:type="dxa"/>
            <w:vAlign w:val="center"/>
          </w:tcPr>
          <w:p>
            <w:pPr>
              <w:adjustRightInd w:val="0"/>
              <w:snapToGrid w:val="0"/>
              <w:jc w:val="center"/>
              <w:rPr>
                <w:rFonts w:eastAsia="黑体"/>
                <w:color w:val="000000"/>
                <w:szCs w:val="21"/>
              </w:rPr>
            </w:pPr>
            <w:r>
              <w:rPr>
                <w:rFonts w:eastAsia="黑体"/>
                <w:color w:val="000000"/>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restart"/>
            <w:vAlign w:val="center"/>
          </w:tcPr>
          <w:p>
            <w:pPr>
              <w:adjustRightInd w:val="0"/>
              <w:snapToGrid w:val="0"/>
              <w:jc w:val="center"/>
              <w:rPr>
                <w:rFonts w:eastAsia="黑体"/>
                <w:color w:val="000000"/>
                <w:szCs w:val="21"/>
              </w:rPr>
            </w:pPr>
            <w:r>
              <w:rPr>
                <w:rFonts w:eastAsia="黑体"/>
                <w:color w:val="000000"/>
                <w:szCs w:val="21"/>
              </w:rPr>
              <w:t>七、</w:t>
            </w:r>
          </w:p>
          <w:p>
            <w:pPr>
              <w:adjustRightInd w:val="0"/>
              <w:snapToGrid w:val="0"/>
              <w:jc w:val="center"/>
              <w:rPr>
                <w:rFonts w:eastAsia="黑体"/>
                <w:color w:val="000000"/>
                <w:szCs w:val="21"/>
              </w:rPr>
            </w:pPr>
            <w:r>
              <w:rPr>
                <w:rFonts w:eastAsia="黑体"/>
                <w:color w:val="000000"/>
                <w:szCs w:val="21"/>
              </w:rPr>
              <w:t>法治思维和依法行政能力全面提高</w:t>
            </w:r>
          </w:p>
          <w:p>
            <w:pPr>
              <w:adjustRightInd w:val="0"/>
              <w:snapToGrid w:val="0"/>
              <w:rPr>
                <w:color w:val="000000"/>
                <w:szCs w:val="21"/>
              </w:rPr>
            </w:pPr>
          </w:p>
        </w:tc>
        <w:tc>
          <w:tcPr>
            <w:tcW w:w="1400" w:type="dxa"/>
            <w:vMerge w:val="restart"/>
            <w:vAlign w:val="center"/>
          </w:tcPr>
          <w:p>
            <w:pPr>
              <w:adjustRightInd w:val="0"/>
              <w:snapToGrid w:val="0"/>
              <w:rPr>
                <w:color w:val="000000"/>
                <w:szCs w:val="21"/>
              </w:rPr>
            </w:pPr>
            <w:r>
              <w:rPr>
                <w:color w:val="000000"/>
                <w:szCs w:val="21"/>
              </w:rPr>
              <w:t>1.树立重视法治素养和法治能力用人导向。</w:t>
            </w:r>
          </w:p>
        </w:tc>
        <w:tc>
          <w:tcPr>
            <w:tcW w:w="546" w:type="dxa"/>
            <w:vAlign w:val="center"/>
          </w:tcPr>
          <w:p>
            <w:pPr>
              <w:adjustRightInd w:val="0"/>
              <w:snapToGrid w:val="0"/>
              <w:jc w:val="center"/>
              <w:rPr>
                <w:color w:val="000000"/>
                <w:szCs w:val="21"/>
              </w:rPr>
            </w:pPr>
            <w:r>
              <w:rPr>
                <w:color w:val="000000"/>
                <w:szCs w:val="21"/>
              </w:rPr>
              <w:t>93</w:t>
            </w:r>
          </w:p>
        </w:tc>
        <w:tc>
          <w:tcPr>
            <w:tcW w:w="9555" w:type="dxa"/>
            <w:vAlign w:val="center"/>
          </w:tcPr>
          <w:p>
            <w:pPr>
              <w:adjustRightInd w:val="0"/>
              <w:snapToGrid w:val="0"/>
              <w:jc w:val="left"/>
              <w:rPr>
                <w:color w:val="000000"/>
                <w:szCs w:val="21"/>
              </w:rPr>
            </w:pPr>
            <w:r>
              <w:rPr>
                <w:color w:val="000000"/>
                <w:szCs w:val="21"/>
              </w:rPr>
              <w:t>法治观念强不强、法治素养好不好成为衡量干部德才的重要标准，能不能遵守法律、依法办事成为考察干部的重要内容。在相同条件下，法治素养好、依法办事能力强的干部得到优先提拔使用。</w:t>
            </w:r>
          </w:p>
        </w:tc>
        <w:tc>
          <w:tcPr>
            <w:tcW w:w="1985" w:type="dxa"/>
            <w:vMerge w:val="restart"/>
            <w:vAlign w:val="center"/>
          </w:tcPr>
          <w:p>
            <w:pPr>
              <w:widowControl/>
              <w:adjustRightInd w:val="0"/>
              <w:snapToGrid w:val="0"/>
              <w:jc w:val="center"/>
              <w:rPr>
                <w:rFonts w:eastAsia="黑体"/>
                <w:szCs w:val="21"/>
              </w:rPr>
            </w:pPr>
            <w:r>
              <w:rPr>
                <w:rFonts w:eastAsia="黑体"/>
                <w:szCs w:val="21"/>
              </w:rPr>
              <w:t>人事教育科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vAlign w:val="center"/>
          </w:tcPr>
          <w:p>
            <w:pPr>
              <w:adjustRightInd w:val="0"/>
              <w:snapToGrid w:val="0"/>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94</w:t>
            </w:r>
          </w:p>
        </w:tc>
        <w:tc>
          <w:tcPr>
            <w:tcW w:w="9555" w:type="dxa"/>
            <w:vAlign w:val="center"/>
          </w:tcPr>
          <w:p>
            <w:pPr>
              <w:adjustRightInd w:val="0"/>
              <w:snapToGrid w:val="0"/>
              <w:jc w:val="left"/>
              <w:rPr>
                <w:color w:val="000000"/>
                <w:szCs w:val="21"/>
              </w:rPr>
            </w:pPr>
            <w:r>
              <w:rPr>
                <w:color w:val="000000"/>
                <w:szCs w:val="21"/>
              </w:rPr>
              <w:t>对特权思想严重、法治观念淡薄的干部，及时发现并进行批评教育、督促整改，问题严重或违法违纪的干部，依法依纪受到严肃处理。</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vAlign w:val="center"/>
          </w:tcPr>
          <w:p>
            <w:pPr>
              <w:adjustRightInd w:val="0"/>
              <w:snapToGrid w:val="0"/>
              <w:rPr>
                <w:color w:val="000000"/>
                <w:szCs w:val="21"/>
              </w:rPr>
            </w:pPr>
          </w:p>
        </w:tc>
        <w:tc>
          <w:tcPr>
            <w:tcW w:w="1400" w:type="dxa"/>
            <w:vMerge w:val="restart"/>
            <w:vAlign w:val="center"/>
          </w:tcPr>
          <w:p>
            <w:pPr>
              <w:adjustRightInd w:val="0"/>
              <w:snapToGrid w:val="0"/>
              <w:rPr>
                <w:color w:val="000000"/>
                <w:szCs w:val="21"/>
              </w:rPr>
            </w:pPr>
            <w:r>
              <w:rPr>
                <w:color w:val="000000"/>
                <w:szCs w:val="21"/>
              </w:rPr>
              <w:t>2.强化对政府工作人员的法治教育培训和考察。</w:t>
            </w:r>
          </w:p>
        </w:tc>
        <w:tc>
          <w:tcPr>
            <w:tcW w:w="546" w:type="dxa"/>
            <w:vAlign w:val="center"/>
          </w:tcPr>
          <w:p>
            <w:pPr>
              <w:adjustRightInd w:val="0"/>
              <w:snapToGrid w:val="0"/>
              <w:jc w:val="center"/>
              <w:rPr>
                <w:color w:val="000000"/>
                <w:szCs w:val="21"/>
              </w:rPr>
            </w:pPr>
            <w:r>
              <w:rPr>
                <w:color w:val="000000"/>
                <w:szCs w:val="21"/>
              </w:rPr>
              <w:t>95</w:t>
            </w:r>
          </w:p>
        </w:tc>
        <w:tc>
          <w:tcPr>
            <w:tcW w:w="9555" w:type="dxa"/>
            <w:vAlign w:val="center"/>
          </w:tcPr>
          <w:p>
            <w:pPr>
              <w:adjustRightInd w:val="0"/>
              <w:snapToGrid w:val="0"/>
              <w:jc w:val="left"/>
              <w:rPr>
                <w:szCs w:val="21"/>
              </w:rPr>
            </w:pPr>
            <w:r>
              <w:rPr>
                <w:szCs w:val="21"/>
              </w:rPr>
              <w:t>领导干部学法制度健全，宪法法律列入党组理论学习中心组学习内容，每年至少安排4次以上法治专题学习，至少举办2期以上领导干部法治专题培训班，至少组织开展1次领导旁听庭审活动。</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690" w:type="dxa"/>
            <w:vMerge w:val="continue"/>
          </w:tcPr>
          <w:p>
            <w:pPr>
              <w:adjustRightInd w:val="0"/>
              <w:snapToGrid w:val="0"/>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96</w:t>
            </w:r>
          </w:p>
        </w:tc>
        <w:tc>
          <w:tcPr>
            <w:tcW w:w="9555" w:type="dxa"/>
            <w:vAlign w:val="center"/>
          </w:tcPr>
          <w:p>
            <w:pPr>
              <w:adjustRightInd w:val="0"/>
              <w:snapToGrid w:val="0"/>
              <w:jc w:val="left"/>
              <w:rPr>
                <w:color w:val="000000"/>
                <w:szCs w:val="21"/>
              </w:rPr>
            </w:pPr>
            <w:r>
              <w:rPr>
                <w:color w:val="000000"/>
                <w:szCs w:val="21"/>
              </w:rPr>
              <w:t>开展宪法法律教育。将法律知识培训作为公务员初任培训、任职培训的重要内容，将宪法以及与工作密切相关的法律法规纳入培训考试考核内容，将通过法律知识考试作为通过初任培训、任职培训的标准之一。</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restart"/>
            <w:vAlign w:val="center"/>
          </w:tcPr>
          <w:p>
            <w:pPr>
              <w:adjustRightInd w:val="0"/>
              <w:snapToGrid w:val="0"/>
              <w:jc w:val="center"/>
              <w:rPr>
                <w:rFonts w:eastAsia="黑体"/>
                <w:color w:val="000000"/>
                <w:szCs w:val="21"/>
              </w:rPr>
            </w:pPr>
            <w:r>
              <w:rPr>
                <w:rFonts w:eastAsia="黑体"/>
                <w:color w:val="000000"/>
                <w:szCs w:val="21"/>
              </w:rPr>
              <w:t>八、</w:t>
            </w:r>
          </w:p>
          <w:p>
            <w:pPr>
              <w:adjustRightInd w:val="0"/>
              <w:snapToGrid w:val="0"/>
              <w:jc w:val="center"/>
              <w:rPr>
                <w:rFonts w:eastAsia="黑体"/>
                <w:color w:val="000000"/>
                <w:szCs w:val="21"/>
              </w:rPr>
            </w:pPr>
            <w:r>
              <w:rPr>
                <w:rFonts w:eastAsia="黑体"/>
                <w:color w:val="000000"/>
                <w:szCs w:val="21"/>
              </w:rPr>
              <w:t>法治政府建设组织领导落实到位</w:t>
            </w:r>
          </w:p>
        </w:tc>
        <w:tc>
          <w:tcPr>
            <w:tcW w:w="1400" w:type="dxa"/>
            <w:vMerge w:val="restart"/>
            <w:vAlign w:val="center"/>
          </w:tcPr>
          <w:p>
            <w:pPr>
              <w:adjustRightInd w:val="0"/>
              <w:snapToGrid w:val="0"/>
              <w:rPr>
                <w:color w:val="000000"/>
                <w:szCs w:val="21"/>
              </w:rPr>
            </w:pPr>
            <w:r>
              <w:rPr>
                <w:color w:val="000000"/>
                <w:szCs w:val="21"/>
              </w:rPr>
              <w:t>1.加强党对法治政府建设的领导。</w:t>
            </w:r>
          </w:p>
        </w:tc>
        <w:tc>
          <w:tcPr>
            <w:tcW w:w="546" w:type="dxa"/>
            <w:vAlign w:val="center"/>
          </w:tcPr>
          <w:p>
            <w:pPr>
              <w:adjustRightInd w:val="0"/>
              <w:snapToGrid w:val="0"/>
              <w:jc w:val="center"/>
              <w:rPr>
                <w:color w:val="000000"/>
                <w:szCs w:val="21"/>
              </w:rPr>
            </w:pPr>
            <w:r>
              <w:rPr>
                <w:color w:val="000000"/>
                <w:szCs w:val="21"/>
              </w:rPr>
              <w:t>97</w:t>
            </w:r>
          </w:p>
        </w:tc>
        <w:tc>
          <w:tcPr>
            <w:tcW w:w="9555" w:type="dxa"/>
            <w:vAlign w:val="center"/>
          </w:tcPr>
          <w:p>
            <w:pPr>
              <w:adjustRightInd w:val="0"/>
              <w:snapToGrid w:val="0"/>
              <w:jc w:val="left"/>
              <w:rPr>
                <w:color w:val="000000"/>
                <w:szCs w:val="21"/>
              </w:rPr>
            </w:pPr>
            <w:r>
              <w:rPr>
                <w:color w:val="000000"/>
                <w:szCs w:val="21"/>
              </w:rPr>
              <w:t>将法治政府建设纳入年度工作计划，单位主要负责人每年召开部署安排法治政府建设年度重点工作的专题会议不少于1次。</w:t>
            </w:r>
          </w:p>
        </w:tc>
        <w:tc>
          <w:tcPr>
            <w:tcW w:w="1985" w:type="dxa"/>
            <w:vMerge w:val="restart"/>
            <w:vAlign w:val="center"/>
          </w:tcPr>
          <w:p>
            <w:pPr>
              <w:adjustRightInd w:val="0"/>
              <w:snapToGrid w:val="0"/>
              <w:jc w:val="center"/>
              <w:rPr>
                <w:rFonts w:eastAsia="黑体"/>
                <w:szCs w:val="21"/>
              </w:rPr>
            </w:pPr>
            <w:r>
              <w:rPr>
                <w:rFonts w:eastAsia="黑体"/>
                <w:szCs w:val="21"/>
              </w:rPr>
              <w:t>办公室、</w:t>
            </w:r>
          </w:p>
          <w:p>
            <w:pPr>
              <w:adjustRightInd w:val="0"/>
              <w:snapToGrid w:val="0"/>
              <w:jc w:val="center"/>
              <w:rPr>
                <w:rFonts w:eastAsia="黑体"/>
                <w:szCs w:val="21"/>
              </w:rPr>
            </w:pPr>
            <w:r>
              <w:rPr>
                <w:rFonts w:eastAsia="黑体"/>
                <w:szCs w:val="21"/>
              </w:rPr>
              <w:t>法规稽查科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90" w:type="dxa"/>
            <w:vMerge w:val="continue"/>
          </w:tcPr>
          <w:p>
            <w:pPr>
              <w:widowControl/>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98</w:t>
            </w:r>
          </w:p>
        </w:tc>
        <w:tc>
          <w:tcPr>
            <w:tcW w:w="9555" w:type="dxa"/>
            <w:vAlign w:val="center"/>
          </w:tcPr>
          <w:p>
            <w:pPr>
              <w:adjustRightInd w:val="0"/>
              <w:snapToGrid w:val="0"/>
              <w:jc w:val="left"/>
              <w:rPr>
                <w:szCs w:val="21"/>
              </w:rPr>
            </w:pPr>
            <w:r>
              <w:rPr>
                <w:szCs w:val="21"/>
              </w:rPr>
              <w:t>单位年度法治政府建设情况每年向本级党委和政府、上一级政府有关部门报告并向社会公开。</w:t>
            </w:r>
          </w:p>
        </w:tc>
        <w:tc>
          <w:tcPr>
            <w:tcW w:w="1985" w:type="dxa"/>
            <w:vMerge w:val="continue"/>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tcPr>
          <w:p>
            <w:pPr>
              <w:widowControl/>
              <w:adjustRightInd w:val="0"/>
              <w:snapToGrid w:val="0"/>
              <w:jc w:val="left"/>
              <w:rPr>
                <w:color w:val="000000"/>
                <w:szCs w:val="21"/>
              </w:rPr>
            </w:pPr>
          </w:p>
        </w:tc>
        <w:tc>
          <w:tcPr>
            <w:tcW w:w="1400" w:type="dxa"/>
            <w:vMerge w:val="restart"/>
            <w:vAlign w:val="center"/>
          </w:tcPr>
          <w:p>
            <w:pPr>
              <w:adjustRightInd w:val="0"/>
              <w:snapToGrid w:val="0"/>
              <w:rPr>
                <w:color w:val="000000"/>
                <w:szCs w:val="21"/>
              </w:rPr>
            </w:pPr>
            <w:r>
              <w:rPr>
                <w:color w:val="000000"/>
                <w:szCs w:val="21"/>
              </w:rPr>
              <w:t>2.强化考核评价和督促落实。</w:t>
            </w:r>
          </w:p>
        </w:tc>
        <w:tc>
          <w:tcPr>
            <w:tcW w:w="546" w:type="dxa"/>
            <w:vAlign w:val="center"/>
          </w:tcPr>
          <w:p>
            <w:pPr>
              <w:adjustRightInd w:val="0"/>
              <w:snapToGrid w:val="0"/>
              <w:jc w:val="center"/>
              <w:rPr>
                <w:color w:val="000000"/>
                <w:szCs w:val="21"/>
              </w:rPr>
            </w:pPr>
            <w:r>
              <w:rPr>
                <w:color w:val="000000"/>
                <w:szCs w:val="21"/>
              </w:rPr>
              <w:t>99</w:t>
            </w:r>
          </w:p>
        </w:tc>
        <w:tc>
          <w:tcPr>
            <w:tcW w:w="9555" w:type="dxa"/>
            <w:vAlign w:val="center"/>
          </w:tcPr>
          <w:p>
            <w:pPr>
              <w:adjustRightInd w:val="0"/>
              <w:snapToGrid w:val="0"/>
              <w:jc w:val="left"/>
              <w:rPr>
                <w:szCs w:val="21"/>
              </w:rPr>
            </w:pPr>
            <w:r>
              <w:rPr>
                <w:szCs w:val="21"/>
              </w:rPr>
              <w:t>党政主要负责人切实履行推进法治建设第一责任人职责。</w:t>
            </w:r>
          </w:p>
        </w:tc>
        <w:tc>
          <w:tcPr>
            <w:tcW w:w="1985" w:type="dxa"/>
            <w:vMerge w:val="continue"/>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90" w:type="dxa"/>
            <w:vMerge w:val="continue"/>
          </w:tcPr>
          <w:p>
            <w:pPr>
              <w:widowControl/>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100</w:t>
            </w:r>
          </w:p>
        </w:tc>
        <w:tc>
          <w:tcPr>
            <w:tcW w:w="9555" w:type="dxa"/>
            <w:vAlign w:val="center"/>
          </w:tcPr>
          <w:p>
            <w:pPr>
              <w:adjustRightInd w:val="0"/>
              <w:snapToGrid w:val="0"/>
              <w:jc w:val="left"/>
              <w:rPr>
                <w:szCs w:val="21"/>
              </w:rPr>
            </w:pPr>
            <w:r>
              <w:rPr>
                <w:szCs w:val="21"/>
              </w:rPr>
              <w:t>法治建设成效纳入年度政绩考核指标体系，作为衡量各级领导班子和领导干部实绩的重要内容，分值不低于总分值的10%，对工作不力、问题较多的单位开展约谈整改。</w:t>
            </w:r>
          </w:p>
        </w:tc>
        <w:tc>
          <w:tcPr>
            <w:tcW w:w="1985" w:type="dxa"/>
            <w:vMerge w:val="continue"/>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restart"/>
            <w:vAlign w:val="center"/>
          </w:tcPr>
          <w:p>
            <w:pPr>
              <w:adjustRightInd w:val="0"/>
              <w:snapToGrid w:val="0"/>
              <w:jc w:val="center"/>
              <w:rPr>
                <w:color w:val="000000"/>
                <w:szCs w:val="21"/>
              </w:rPr>
            </w:pPr>
            <w:r>
              <w:rPr>
                <w:rFonts w:eastAsia="黑体"/>
                <w:color w:val="000000"/>
                <w:szCs w:val="21"/>
              </w:rPr>
              <w:t>九、附加项</w:t>
            </w:r>
          </w:p>
        </w:tc>
        <w:tc>
          <w:tcPr>
            <w:tcW w:w="1400" w:type="dxa"/>
            <w:vMerge w:val="restart"/>
            <w:vAlign w:val="center"/>
          </w:tcPr>
          <w:p>
            <w:pPr>
              <w:adjustRightInd w:val="0"/>
              <w:snapToGrid w:val="0"/>
              <w:rPr>
                <w:color w:val="000000"/>
                <w:szCs w:val="21"/>
              </w:rPr>
            </w:pPr>
            <w:r>
              <w:rPr>
                <w:color w:val="000000"/>
                <w:szCs w:val="21"/>
              </w:rPr>
              <w:t>1.加分项。</w:t>
            </w:r>
          </w:p>
        </w:tc>
        <w:tc>
          <w:tcPr>
            <w:tcW w:w="546" w:type="dxa"/>
            <w:vAlign w:val="center"/>
          </w:tcPr>
          <w:p>
            <w:pPr>
              <w:adjustRightInd w:val="0"/>
              <w:snapToGrid w:val="0"/>
              <w:jc w:val="center"/>
              <w:rPr>
                <w:color w:val="000000"/>
                <w:szCs w:val="21"/>
              </w:rPr>
            </w:pPr>
            <w:r>
              <w:rPr>
                <w:color w:val="000000"/>
                <w:szCs w:val="21"/>
              </w:rPr>
              <w:t>101</w:t>
            </w:r>
          </w:p>
        </w:tc>
        <w:tc>
          <w:tcPr>
            <w:tcW w:w="9555" w:type="dxa"/>
            <w:vAlign w:val="center"/>
          </w:tcPr>
          <w:p>
            <w:pPr>
              <w:adjustRightInd w:val="0"/>
              <w:snapToGrid w:val="0"/>
              <w:jc w:val="left"/>
              <w:rPr>
                <w:szCs w:val="21"/>
              </w:rPr>
            </w:pPr>
            <w:r>
              <w:rPr>
                <w:szCs w:val="21"/>
              </w:rPr>
              <w:t>法治政府建设有关工作获得省部级以上表彰、奖励的。</w:t>
            </w:r>
          </w:p>
        </w:tc>
        <w:tc>
          <w:tcPr>
            <w:tcW w:w="1985" w:type="dxa"/>
            <w:vMerge w:val="continue"/>
            <w:vAlign w:val="center"/>
          </w:tcPr>
          <w:p>
            <w:pPr>
              <w:widowControl/>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vAlign w:val="center"/>
          </w:tcPr>
          <w:p>
            <w:pPr>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102</w:t>
            </w:r>
          </w:p>
        </w:tc>
        <w:tc>
          <w:tcPr>
            <w:tcW w:w="9555" w:type="dxa"/>
            <w:vAlign w:val="center"/>
          </w:tcPr>
          <w:p>
            <w:pPr>
              <w:adjustRightInd w:val="0"/>
              <w:snapToGrid w:val="0"/>
              <w:jc w:val="left"/>
              <w:rPr>
                <w:szCs w:val="21"/>
              </w:rPr>
            </w:pPr>
            <w:r>
              <w:rPr>
                <w:szCs w:val="21"/>
              </w:rPr>
              <w:t>在法治政府建设上积极创新、深化改革，有关做法经验在全国范围内推广的。</w:t>
            </w:r>
          </w:p>
        </w:tc>
        <w:tc>
          <w:tcPr>
            <w:tcW w:w="1985" w:type="dxa"/>
            <w:vMerge w:val="continue"/>
          </w:tcPr>
          <w:p>
            <w:pPr>
              <w:widowControl/>
              <w:adjustRightInd w:val="0"/>
              <w:snapToGrid w:val="0"/>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vAlign w:val="center"/>
          </w:tcPr>
          <w:p>
            <w:pPr>
              <w:adjustRightInd w:val="0"/>
              <w:snapToGrid w:val="0"/>
              <w:jc w:val="left"/>
              <w:rPr>
                <w:color w:val="000000"/>
                <w:szCs w:val="21"/>
              </w:rPr>
            </w:pPr>
          </w:p>
        </w:tc>
        <w:tc>
          <w:tcPr>
            <w:tcW w:w="1400" w:type="dxa"/>
            <w:vMerge w:val="restart"/>
            <w:vAlign w:val="center"/>
          </w:tcPr>
          <w:p>
            <w:pPr>
              <w:adjustRightInd w:val="0"/>
              <w:snapToGrid w:val="0"/>
              <w:rPr>
                <w:color w:val="000000"/>
                <w:szCs w:val="21"/>
              </w:rPr>
            </w:pPr>
            <w:r>
              <w:rPr>
                <w:color w:val="000000"/>
                <w:szCs w:val="21"/>
              </w:rPr>
              <w:t>2.减分项。</w:t>
            </w:r>
          </w:p>
        </w:tc>
        <w:tc>
          <w:tcPr>
            <w:tcW w:w="546" w:type="dxa"/>
            <w:vAlign w:val="center"/>
          </w:tcPr>
          <w:p>
            <w:pPr>
              <w:adjustRightInd w:val="0"/>
              <w:snapToGrid w:val="0"/>
              <w:jc w:val="center"/>
              <w:rPr>
                <w:color w:val="000000"/>
                <w:szCs w:val="21"/>
              </w:rPr>
            </w:pPr>
            <w:r>
              <w:rPr>
                <w:color w:val="000000"/>
                <w:szCs w:val="21"/>
              </w:rPr>
              <w:t>103</w:t>
            </w:r>
          </w:p>
        </w:tc>
        <w:tc>
          <w:tcPr>
            <w:tcW w:w="9555" w:type="dxa"/>
            <w:vAlign w:val="center"/>
          </w:tcPr>
          <w:p>
            <w:pPr>
              <w:adjustRightInd w:val="0"/>
              <w:snapToGrid w:val="0"/>
              <w:jc w:val="left"/>
              <w:rPr>
                <w:szCs w:val="21"/>
              </w:rPr>
            </w:pPr>
            <w:r>
              <w:rPr>
                <w:szCs w:val="21"/>
              </w:rPr>
              <w:t>发生严重违法行政行为，或者因行政不作为、乱作为造成恶劣社会影响的。</w:t>
            </w:r>
          </w:p>
        </w:tc>
        <w:tc>
          <w:tcPr>
            <w:tcW w:w="1985" w:type="dxa"/>
            <w:vMerge w:val="continue"/>
          </w:tcPr>
          <w:p>
            <w:pPr>
              <w:widowControl/>
              <w:adjustRightInd w:val="0"/>
              <w:snapToGrid w:val="0"/>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Merge w:val="continue"/>
            <w:vAlign w:val="center"/>
          </w:tcPr>
          <w:p>
            <w:pPr>
              <w:adjustRightInd w:val="0"/>
              <w:snapToGrid w:val="0"/>
              <w:jc w:val="left"/>
              <w:rPr>
                <w:color w:val="000000"/>
                <w:szCs w:val="21"/>
              </w:rPr>
            </w:pPr>
          </w:p>
        </w:tc>
        <w:tc>
          <w:tcPr>
            <w:tcW w:w="1400" w:type="dxa"/>
            <w:vMerge w:val="continue"/>
            <w:vAlign w:val="center"/>
          </w:tcPr>
          <w:p>
            <w:pPr>
              <w:adjustRightInd w:val="0"/>
              <w:snapToGrid w:val="0"/>
              <w:rPr>
                <w:color w:val="000000"/>
                <w:szCs w:val="21"/>
              </w:rPr>
            </w:pPr>
          </w:p>
        </w:tc>
        <w:tc>
          <w:tcPr>
            <w:tcW w:w="546" w:type="dxa"/>
            <w:vAlign w:val="center"/>
          </w:tcPr>
          <w:p>
            <w:pPr>
              <w:adjustRightInd w:val="0"/>
              <w:snapToGrid w:val="0"/>
              <w:jc w:val="center"/>
              <w:rPr>
                <w:color w:val="000000"/>
                <w:szCs w:val="21"/>
              </w:rPr>
            </w:pPr>
            <w:r>
              <w:rPr>
                <w:color w:val="000000"/>
                <w:szCs w:val="21"/>
              </w:rPr>
              <w:t>104</w:t>
            </w:r>
          </w:p>
        </w:tc>
        <w:tc>
          <w:tcPr>
            <w:tcW w:w="9555" w:type="dxa"/>
            <w:vAlign w:val="center"/>
          </w:tcPr>
          <w:p>
            <w:pPr>
              <w:adjustRightInd w:val="0"/>
              <w:snapToGrid w:val="0"/>
              <w:jc w:val="left"/>
              <w:rPr>
                <w:color w:val="000000"/>
                <w:szCs w:val="21"/>
              </w:rPr>
            </w:pPr>
            <w:r>
              <w:rPr>
                <w:color w:val="000000"/>
                <w:szCs w:val="21"/>
              </w:rPr>
              <w:t>在示范创建活动的申报材料中，故意编造、虚构有关数据、资料、文件等，或者隐瞒事实真相的。</w:t>
            </w:r>
          </w:p>
        </w:tc>
        <w:tc>
          <w:tcPr>
            <w:tcW w:w="1985" w:type="dxa"/>
            <w:vMerge w:val="continue"/>
          </w:tcPr>
          <w:p>
            <w:pPr>
              <w:widowControl/>
              <w:adjustRightInd w:val="0"/>
              <w:snapToGrid w:val="0"/>
              <w:rPr>
                <w:rFonts w:eastAsia="黑体"/>
                <w:szCs w:val="21"/>
              </w:rPr>
            </w:pPr>
          </w:p>
        </w:tc>
      </w:tr>
    </w:tbl>
    <w:p>
      <w:pPr>
        <w:adjustRightInd w:val="0"/>
        <w:snapToGrid w:val="0"/>
        <w:spacing w:line="440" w:lineRule="exact"/>
        <w:jc w:val="left"/>
        <w:rPr>
          <w:rFonts w:eastAsia="黑体"/>
          <w:color w:val="000000"/>
          <w:szCs w:val="21"/>
        </w:rPr>
      </w:pPr>
      <w:r>
        <w:rPr>
          <w:rFonts w:eastAsia="黑体"/>
          <w:color w:val="000000"/>
          <w:szCs w:val="21"/>
        </w:rPr>
        <w:t>说明：1.责任单位负责汇总收集相应指标完成资料，市局其他科室、直属单位全力配合；</w:t>
      </w:r>
    </w:p>
    <w:p>
      <w:pPr>
        <w:adjustRightInd w:val="0"/>
        <w:snapToGrid w:val="0"/>
        <w:spacing w:line="440" w:lineRule="exact"/>
        <w:ind w:left="630" w:hanging="630" w:hangingChars="300"/>
        <w:jc w:val="left"/>
        <w:rPr>
          <w:rFonts w:eastAsia="黑体"/>
          <w:color w:val="000000"/>
          <w:szCs w:val="21"/>
        </w:rPr>
      </w:pPr>
      <w:r>
        <w:rPr>
          <w:rFonts w:eastAsia="黑体"/>
          <w:color w:val="000000"/>
          <w:szCs w:val="21"/>
        </w:rPr>
        <w:t xml:space="preserve">      2.市局信用监管科（“市双随机办”）、价监竞争科竞价科（市公平竞争审查联席办）除牵头汇总收集市局系统相应指标完成资料外，还分别牵头承担全市指标序号5、12、13、14、16、18五项内容。具体任务和专班组建要求待市创建办文件明确后执行。</w:t>
      </w:r>
    </w:p>
    <w:p/>
    <w:sectPr>
      <w:pgSz w:w="16838" w:h="11906" w:orient="landscape"/>
      <w:pgMar w:top="1800" w:right="1440" w:bottom="1800" w:left="1440" w:header="851" w:footer="994"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C4308"/>
    <w:rsid w:val="4E811D1D"/>
    <w:rsid w:val="643C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2021-09-01T07:01:00Z</dcterms:created>
  <dc:creator>惠亚龙</dc:creator>
  <cp:lastModifiedBy>惠亚龙</cp:lastModifiedBy>
  <dcterms:modified xsi:type="dcterms:W3CDTF">2021-09-01T07:01:30Z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